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2F395A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FD0AB34">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29BCC58E">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67.060</w:t>
            </w:r>
            <w:r>
              <w:rPr>
                <w:rFonts w:ascii="黑体" w:hAnsi="黑体" w:eastAsia="黑体"/>
                <w:sz w:val="21"/>
                <w:szCs w:val="21"/>
              </w:rPr>
              <w:fldChar w:fldCharType="end"/>
            </w:r>
            <w:bookmarkEnd w:id="0"/>
          </w:p>
        </w:tc>
      </w:tr>
      <w:tr w14:paraId="764D25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BBBD474">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3EF1BD7C">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rPr>
                <w:trHeight w:val="1021" w:hRule="exact"/>
              </w:trPr>
              <w:tc>
                <w:tcPr>
                  <w:tcW w:w="9242" w:type="dxa"/>
                  <w:vAlign w:val="center"/>
                </w:tcPr>
                <w:p w14:paraId="5D5A3403">
                  <w:pPr>
                    <w:pStyle w:val="49"/>
                    <w:framePr w:wrap="notBeside" w:vAnchor="page" w:hAnchor="page" w:x="1372" w:y="568"/>
                    <w:ind w:left="420" w:right="624"/>
                    <w:rPr>
                      <w:rFonts w:hint="default" w:ascii="宋体" w:hAnsi="宋体" w:eastAsia="宋体"/>
                      <w:sz w:val="28"/>
                      <w:szCs w:val="28"/>
                      <w:lang w:val="en-US" w:eastAsia="zh-CN"/>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SXMYT</w:t>
                  </w:r>
                  <w:r>
                    <w:fldChar w:fldCharType="end"/>
                  </w:r>
                  <w:bookmarkEnd w:id="1"/>
                </w:p>
              </w:tc>
            </w:tr>
          </w:tbl>
          <w:p w14:paraId="76788779">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 22</w:t>
            </w:r>
            <w:r>
              <w:rPr>
                <w:rFonts w:ascii="黑体" w:hAnsi="黑体" w:eastAsia="黑体"/>
                <w:sz w:val="21"/>
                <w:szCs w:val="21"/>
              </w:rPr>
              <w:fldChar w:fldCharType="end"/>
            </w:r>
            <w:bookmarkEnd w:id="2"/>
          </w:p>
        </w:tc>
      </w:tr>
    </w:tbl>
    <w:p w14:paraId="6DC001BA">
      <w:pPr>
        <w:pStyle w:val="50"/>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山西省名优土特新产品协会</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0882280D">
      <w:pPr>
        <w:pStyle w:val="195"/>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XXX</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rPr>
          <w:rFonts w:hint="eastAsia"/>
        </w:rPr>
        <w:t>2026</w:t>
      </w:r>
      <w:r>
        <w:fldChar w:fldCharType="end"/>
      </w:r>
      <w:bookmarkEnd w:id="7"/>
    </w:p>
    <w:p w14:paraId="384BAF30">
      <w:pPr>
        <w:pStyle w:val="196"/>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6EAFF47D">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77ECC156">
      <w:pPr>
        <w:pStyle w:val="50"/>
        <w:framePr w:w="9639" w:h="6976" w:hRule="exact" w:hSpace="0" w:vSpace="0" w:wrap="around" w:hAnchor="page" w:y="6408"/>
        <w:jc w:val="center"/>
        <w:rPr>
          <w:rFonts w:hint="eastAsia" w:ascii="黑体" w:hAnsi="黑体" w:eastAsia="黑体"/>
          <w:b w:val="0"/>
          <w:bCs w:val="0"/>
          <w:w w:val="100"/>
        </w:rPr>
      </w:pPr>
    </w:p>
    <w:p w14:paraId="302B5556">
      <w:pPr>
        <w:pStyle w:val="197"/>
        <w:framePr w:h="6974" w:hRule="exact" w:wrap="around" w:x="1419" w:anchorLock="1"/>
        <w:rPr>
          <w:rFonts w:hint="eastAsia"/>
        </w:rPr>
      </w:pPr>
      <w:bookmarkStart w:id="9" w:name="OLE_LINK10"/>
      <w:r>
        <w:fldChar w:fldCharType="begin">
          <w:ffData>
            <w:name w:val="CSTD_NAME"/>
            <w:enabled/>
            <w:calcOnExit w:val="0"/>
            <w:textInput>
              <w:default w:val="点击此处添加标准名称"/>
            </w:textInput>
          </w:ffData>
        </w:fldChar>
      </w:r>
      <w:bookmarkStart w:id="10" w:name="CSTD_NAME"/>
      <w:r>
        <w:instrText xml:space="preserve"> FORMTEXT </w:instrText>
      </w:r>
      <w:r>
        <w:fldChar w:fldCharType="separate"/>
      </w:r>
      <w:r>
        <w:t>"</w:t>
      </w:r>
      <w:r>
        <w:rPr>
          <w:rFonts w:hint="eastAsia"/>
        </w:rPr>
        <w:t>沁州黄</w:t>
      </w:r>
      <w:r>
        <w:rPr>
          <w:rFonts w:hint="eastAsia"/>
          <w:lang w:val="en-US" w:eastAsia="zh-CN"/>
        </w:rPr>
        <w:t>小米</w:t>
      </w:r>
      <w:r>
        <w:t xml:space="preserve">" </w:t>
      </w:r>
      <w:r>
        <w:rPr>
          <w:rFonts w:hint="eastAsia"/>
        </w:rPr>
        <w:t>特色</w:t>
      </w:r>
      <w:r>
        <w:t>产品技术规范 小米</w:t>
      </w:r>
      <w:r>
        <w:fldChar w:fldCharType="end"/>
      </w:r>
      <w:bookmarkEnd w:id="9"/>
      <w:bookmarkEnd w:id="10"/>
    </w:p>
    <w:p w14:paraId="628A11BC">
      <w:pPr>
        <w:framePr w:w="9639" w:h="6974" w:hRule="exact" w:wrap="around" w:vAnchor="page" w:hAnchor="page" w:x="1419" w:y="6408" w:anchorLock="1"/>
        <w:ind w:left="-1418"/>
      </w:pPr>
    </w:p>
    <w:p w14:paraId="343A84A5">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1" w:name="ESTD_NAME"/>
      <w:r>
        <w:rPr>
          <w:rFonts w:eastAsia="黑体"/>
          <w:szCs w:val="28"/>
        </w:rPr>
        <w:instrText xml:space="preserve"> FORMTEXT </w:instrText>
      </w:r>
      <w:r>
        <w:rPr>
          <w:rFonts w:eastAsia="黑体"/>
          <w:szCs w:val="28"/>
        </w:rPr>
        <w:fldChar w:fldCharType="separate"/>
      </w:r>
      <w:bookmarkStart w:id="12" w:name="OLE_LINK11"/>
      <w:r>
        <w:rPr>
          <w:rFonts w:hint="eastAsia" w:eastAsia="黑体"/>
          <w:szCs w:val="28"/>
        </w:rPr>
        <w:t>"Qinzhouhuang foxtail-millet"</w:t>
      </w:r>
      <w:r>
        <w:rPr>
          <w:rFonts w:eastAsia="黑体"/>
          <w:szCs w:val="28"/>
        </w:rPr>
        <w:t> </w:t>
      </w:r>
      <w:r>
        <w:rPr>
          <w:rFonts w:hint="eastAsia" w:eastAsia="黑体"/>
          <w:szCs w:val="28"/>
        </w:rPr>
        <w:t>Featured p</w:t>
      </w:r>
      <w:r>
        <w:rPr>
          <w:rFonts w:eastAsia="黑体"/>
          <w:szCs w:val="28"/>
        </w:rPr>
        <w:t xml:space="preserve">roduct technical specification for </w:t>
      </w:r>
      <w:r>
        <w:rPr>
          <w:rFonts w:hint="eastAsia" w:eastAsia="黑体"/>
          <w:szCs w:val="28"/>
        </w:rPr>
        <w:t>m</w:t>
      </w:r>
      <w:r>
        <w:rPr>
          <w:rFonts w:eastAsia="黑体"/>
          <w:szCs w:val="28"/>
        </w:rPr>
        <w:t>illet</w:t>
      </w:r>
      <w:bookmarkEnd w:id="12"/>
      <w:r>
        <w:rPr>
          <w:rFonts w:eastAsia="黑体"/>
          <w:szCs w:val="28"/>
        </w:rPr>
        <w:fldChar w:fldCharType="end"/>
      </w:r>
      <w:bookmarkEnd w:id="11"/>
    </w:p>
    <w:p w14:paraId="40D7D01F">
      <w:pPr>
        <w:framePr w:w="9639" w:h="6974" w:hRule="exact" w:wrap="around" w:vAnchor="page" w:hAnchor="page" w:x="1419" w:y="6408" w:anchorLock="1"/>
        <w:spacing w:line="760" w:lineRule="exact"/>
        <w:ind w:left="-1418"/>
      </w:pPr>
    </w:p>
    <w:p w14:paraId="19A94FFE">
      <w:pPr>
        <w:pStyle w:val="125"/>
        <w:framePr w:w="9639" w:h="6974" w:hRule="exact" w:wrap="around" w:vAnchor="page" w:hAnchor="page" w:x="1419" w:y="6408" w:anchorLock="1"/>
        <w:textAlignment w:val="bottom"/>
        <w:rPr>
          <w:rFonts w:eastAsia="黑体"/>
          <w:szCs w:val="28"/>
        </w:rPr>
      </w:pPr>
    </w:p>
    <w:p w14:paraId="5A9BD25C">
      <w:pPr>
        <w:pStyle w:val="125"/>
        <w:framePr w:w="9639" w:h="6974" w:hRule="exact" w:wrap="around" w:vAnchor="page" w:hAnchor="page" w:x="1419" w:y="6408" w:anchorLock="1"/>
        <w:pBdr>
          <w:top w:val="none" w:color="auto" w:sz="0" w:space="0"/>
          <w:left w:val="none" w:color="auto" w:sz="0" w:space="0"/>
          <w:bottom w:val="none" w:color="auto" w:sz="0" w:space="0"/>
          <w:right w:val="none" w:color="auto" w:sz="0" w:space="0"/>
        </w:pBdr>
        <w:spacing w:before="440" w:after="160"/>
        <w:textAlignment w:val="bottom"/>
        <w:rPr>
          <w:sz w:val="24"/>
          <w:szCs w:val="28"/>
        </w:rPr>
      </w:pPr>
    </w:p>
    <w:p w14:paraId="0521F550">
      <w:pPr>
        <w:pStyle w:val="125"/>
        <w:framePr w:w="9639" w:h="6974" w:hRule="exact" w:wrap="around" w:vAnchor="page" w:hAnchor="page" w:x="1419" w:y="6408" w:anchorLock="1"/>
        <w:pBdr>
          <w:top w:val="none" w:color="auto" w:sz="0" w:space="0"/>
          <w:left w:val="none" w:color="auto" w:sz="0" w:space="0"/>
          <w:bottom w:val="none" w:color="auto" w:sz="0" w:space="0"/>
          <w:right w:val="none" w:color="auto" w:sz="0" w:space="0"/>
        </w:pBdr>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r>
        <w:rPr>
          <w:sz w:val="24"/>
          <w:szCs w:val="28"/>
        </w:rPr>
        <w:instrText xml:space="preserve"> FORMDROPDOWN </w:instrText>
      </w:r>
      <w:r>
        <w:rPr>
          <w:sz w:val="24"/>
          <w:szCs w:val="28"/>
        </w:rPr>
        <w:fldChar w:fldCharType="separate"/>
      </w:r>
      <w:r>
        <w:rPr>
          <w:sz w:val="24"/>
          <w:szCs w:val="28"/>
        </w:rPr>
        <w:fldChar w:fldCharType="end"/>
      </w:r>
    </w:p>
    <w:p w14:paraId="5DB1D13C">
      <w:pPr>
        <w:pStyle w:val="125"/>
        <w:framePr w:w="9639" w:h="6974" w:hRule="exact" w:wrap="around" w:vAnchor="page" w:hAnchor="page" w:x="1419" w:y="6408" w:anchorLock="1"/>
        <w:spacing w:before="720" w:beforeLines="300" w:after="72" w:afterLines="30" w:line="240" w:lineRule="auto"/>
        <w:textAlignment w:val="bottom"/>
        <w:rPr>
          <w:b/>
          <w:sz w:val="21"/>
          <w:szCs w:val="28"/>
        </w:rPr>
      </w:pPr>
    </w:p>
    <w:p w14:paraId="7D010401">
      <w:pPr>
        <w:pStyle w:val="193"/>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14:paraId="3854085F">
      <w:pPr>
        <w:pStyle w:val="194"/>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14:paraId="4FFDF670">
      <w:pPr>
        <w:pStyle w:val="151"/>
        <w:framePr w:h="584" w:hRule="exact" w:hSpace="181" w:vSpace="181" w:wrap="around" w:y="14800"/>
        <w:rPr>
          <w:rFonts w:hint="eastAsia" w:hAnsi="黑体"/>
        </w:rPr>
      </w:pPr>
      <w:bookmarkStart w:id="19" w:name="OLE_LINK50"/>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山西省名优土特新产品协会</w:t>
      </w:r>
      <w:r>
        <w:rPr>
          <w:rFonts w:hAnsi="黑体"/>
          <w:w w:val="100"/>
          <w:sz w:val="28"/>
        </w:rPr>
        <w:fldChar w:fldCharType="end"/>
      </w:r>
      <w:bookmarkEnd w:id="19"/>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0384B319">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0AC42FEB">
      <w:pPr>
        <w:pStyle w:val="91"/>
        <w:spacing w:after="360"/>
        <w:rPr>
          <w:rFonts w:hint="eastAsia"/>
        </w:rPr>
      </w:pPr>
      <w:bookmarkStart w:id="21" w:name="BookMark1"/>
      <w:bookmarkStart w:id="22" w:name="_Toc228276492"/>
      <w:bookmarkStart w:id="23" w:name="_Toc15377"/>
      <w:bookmarkStart w:id="24" w:name="_Toc169012250"/>
      <w:bookmarkStart w:id="25" w:name="_Toc169012277"/>
      <w:r>
        <w:rPr>
          <w:rFonts w:hint="eastAsia"/>
          <w:spacing w:val="320"/>
        </w:rPr>
        <w:t>目</w:t>
      </w:r>
      <w:r>
        <w:rPr>
          <w:rFonts w:hint="eastAsia"/>
        </w:rPr>
        <w:t>次</w:t>
      </w:r>
    </w:p>
    <w:p w14:paraId="05D9A943">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TOC \o "1-1" \h </w:instrText>
      </w:r>
      <w:r>
        <w:fldChar w:fldCharType="separate"/>
      </w:r>
      <w:r>
        <w:fldChar w:fldCharType="begin"/>
      </w:r>
      <w:r>
        <w:instrText xml:space="preserve"> HYPERLINK \l "_Toc228276522" </w:instrText>
      </w:r>
      <w:r>
        <w:fldChar w:fldCharType="separate"/>
      </w:r>
      <w:r>
        <w:rPr>
          <w:rStyle w:val="32"/>
        </w:rPr>
        <w:t>前言</w:t>
      </w:r>
      <w:r>
        <w:rPr>
          <w:rFonts w:hint="eastAsia"/>
        </w:rPr>
        <w:tab/>
      </w:r>
      <w:r>
        <w:rPr>
          <w:rFonts w:hint="eastAsia"/>
        </w:rPr>
        <w:fldChar w:fldCharType="begin"/>
      </w:r>
      <w:r>
        <w:rPr>
          <w:rFonts w:hint="eastAsia"/>
        </w:rPr>
        <w:instrText xml:space="preserve"> </w:instrText>
      </w:r>
      <w:r>
        <w:instrText xml:space="preserve">PAGEREF _Toc228276522 \h</w:instrText>
      </w:r>
      <w:r>
        <w:rPr>
          <w:rFonts w:hint="eastAsia"/>
        </w:rPr>
        <w:instrText xml:space="preserve"> </w:instrText>
      </w:r>
      <w:r>
        <w:rPr>
          <w:rFonts w:hint="eastAsia"/>
        </w:rPr>
        <w:fldChar w:fldCharType="separate"/>
      </w:r>
      <w:r>
        <w:t>II</w:t>
      </w:r>
      <w:r>
        <w:rPr>
          <w:rFonts w:hint="eastAsia"/>
        </w:rPr>
        <w:fldChar w:fldCharType="end"/>
      </w:r>
      <w:r>
        <w:rPr>
          <w:rFonts w:hint="eastAsia"/>
        </w:rPr>
        <w:fldChar w:fldCharType="end"/>
      </w:r>
    </w:p>
    <w:p w14:paraId="600EBE75">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"_Toc228276523" </w:instrText>
      </w:r>
      <w:r>
        <w:fldChar w:fldCharType="separate"/>
      </w:r>
      <w:r>
        <w:rPr>
          <w:rStyle w:val="32"/>
        </w:rPr>
        <w:t>引言</w:t>
      </w:r>
      <w:r>
        <w:rPr>
          <w:rFonts w:hint="eastAsia"/>
        </w:rPr>
        <w:tab/>
      </w:r>
      <w:r>
        <w:rPr>
          <w:rFonts w:hint="eastAsia"/>
        </w:rPr>
        <w:fldChar w:fldCharType="begin"/>
      </w:r>
      <w:r>
        <w:rPr>
          <w:rFonts w:hint="eastAsia"/>
        </w:rPr>
        <w:instrText xml:space="preserve"> </w:instrText>
      </w:r>
      <w:r>
        <w:instrText xml:space="preserve">PAGEREF _Toc228276523 \h</w:instrText>
      </w:r>
      <w:r>
        <w:rPr>
          <w:rFonts w:hint="eastAsia"/>
        </w:rPr>
        <w:instrText xml:space="preserve"> </w:instrText>
      </w:r>
      <w:r>
        <w:rPr>
          <w:rFonts w:hint="eastAsia"/>
        </w:rPr>
        <w:fldChar w:fldCharType="separate"/>
      </w:r>
      <w:r>
        <w:t>III</w:t>
      </w:r>
      <w:r>
        <w:rPr>
          <w:rFonts w:hint="eastAsia"/>
        </w:rPr>
        <w:fldChar w:fldCharType="end"/>
      </w:r>
      <w:r>
        <w:rPr>
          <w:rFonts w:hint="eastAsia"/>
        </w:rPr>
        <w:fldChar w:fldCharType="end"/>
      </w:r>
    </w:p>
    <w:p w14:paraId="2B1367E4">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"_Toc228276524" </w:instrText>
      </w:r>
      <w:r>
        <w:fldChar w:fldCharType="separate"/>
      </w:r>
      <w:r>
        <w:rPr>
          <w:rStyle w:val="32"/>
        </w:rPr>
        <w:t>1  范围</w:t>
      </w:r>
      <w:r>
        <w:rPr>
          <w:rFonts w:hint="eastAsia"/>
        </w:rPr>
        <w:tab/>
      </w:r>
      <w:r>
        <w:rPr>
          <w:rFonts w:hint="eastAsia"/>
        </w:rPr>
        <w:fldChar w:fldCharType="begin"/>
      </w:r>
      <w:r>
        <w:rPr>
          <w:rFonts w:hint="eastAsia"/>
        </w:rPr>
        <w:instrText xml:space="preserve"> </w:instrText>
      </w:r>
      <w:r>
        <w:instrText xml:space="preserve">PAGEREF _Toc228276524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651A2046">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"_Toc228276525" </w:instrText>
      </w:r>
      <w:r>
        <w:fldChar w:fldCharType="separate"/>
      </w:r>
      <w:r>
        <w:rPr>
          <w:rStyle w:val="32"/>
        </w:rPr>
        <w:t>2  规范性引用文件</w:t>
      </w:r>
      <w:r>
        <w:rPr>
          <w:rFonts w:hint="eastAsia"/>
        </w:rPr>
        <w:tab/>
      </w:r>
      <w:r>
        <w:rPr>
          <w:rFonts w:hint="eastAsia"/>
        </w:rPr>
        <w:fldChar w:fldCharType="begin"/>
      </w:r>
      <w:r>
        <w:rPr>
          <w:rFonts w:hint="eastAsia"/>
        </w:rPr>
        <w:instrText xml:space="preserve"> </w:instrText>
      </w:r>
      <w:r>
        <w:instrText xml:space="preserve">PAGEREF _Toc228276525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41012DCD">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"_Toc228276526" </w:instrText>
      </w:r>
      <w:r>
        <w:fldChar w:fldCharType="separate"/>
      </w:r>
      <w:r>
        <w:rPr>
          <w:rStyle w:val="32"/>
        </w:rPr>
        <w:t>3  术语和定义</w:t>
      </w:r>
      <w:r>
        <w:rPr>
          <w:rFonts w:hint="eastAsia"/>
        </w:rPr>
        <w:tab/>
      </w:r>
      <w:r>
        <w:rPr>
          <w:rFonts w:hint="eastAsia"/>
        </w:rPr>
        <w:fldChar w:fldCharType="begin"/>
      </w:r>
      <w:r>
        <w:rPr>
          <w:rFonts w:hint="eastAsia"/>
        </w:rPr>
        <w:instrText xml:space="preserve"> </w:instrText>
      </w:r>
      <w:r>
        <w:instrText xml:space="preserve">PAGEREF _Toc228276526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1CBC7844">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"_Toc228276527" </w:instrText>
      </w:r>
      <w:r>
        <w:fldChar w:fldCharType="separate"/>
      </w:r>
      <w:r>
        <w:rPr>
          <w:rStyle w:val="32"/>
        </w:rPr>
        <w:t>4  气候条件</w:t>
      </w:r>
      <w:r>
        <w:rPr>
          <w:rFonts w:hint="eastAsia"/>
        </w:rPr>
        <w:tab/>
      </w:r>
      <w:r>
        <w:rPr>
          <w:rFonts w:hint="eastAsia"/>
        </w:rPr>
        <w:fldChar w:fldCharType="begin"/>
      </w:r>
      <w:r>
        <w:rPr>
          <w:rFonts w:hint="eastAsia"/>
        </w:rPr>
        <w:instrText xml:space="preserve"> </w:instrText>
      </w:r>
      <w:r>
        <w:instrText xml:space="preserve">PAGEREF _Toc228276527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508D4BA8">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"_Toc228276528" </w:instrText>
      </w:r>
      <w:r>
        <w:fldChar w:fldCharType="separate"/>
      </w:r>
      <w:r>
        <w:rPr>
          <w:rStyle w:val="32"/>
        </w:rPr>
        <w:t>5  种植过程</w:t>
      </w:r>
      <w:r>
        <w:rPr>
          <w:rFonts w:hint="eastAsia"/>
        </w:rPr>
        <w:tab/>
      </w:r>
      <w:r>
        <w:rPr>
          <w:rFonts w:hint="eastAsia"/>
        </w:rPr>
        <w:fldChar w:fldCharType="begin"/>
      </w:r>
      <w:r>
        <w:rPr>
          <w:rFonts w:hint="eastAsia"/>
        </w:rPr>
        <w:instrText xml:space="preserve"> </w:instrText>
      </w:r>
      <w:r>
        <w:instrText xml:space="preserve">PAGEREF _Toc228276528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1D421CD8">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"_Toc228276529" </w:instrText>
      </w:r>
      <w:r>
        <w:fldChar w:fldCharType="separate"/>
      </w:r>
      <w:r>
        <w:rPr>
          <w:rStyle w:val="32"/>
        </w:rPr>
        <w:t>6  谷子质量</w:t>
      </w:r>
      <w:r>
        <w:rPr>
          <w:rFonts w:hint="eastAsia"/>
        </w:rPr>
        <w:tab/>
      </w:r>
      <w:r>
        <w:rPr>
          <w:rFonts w:hint="eastAsia"/>
        </w:rPr>
        <w:fldChar w:fldCharType="begin"/>
      </w:r>
      <w:r>
        <w:rPr>
          <w:rFonts w:hint="eastAsia"/>
        </w:rPr>
        <w:instrText xml:space="preserve"> </w:instrText>
      </w:r>
      <w:r>
        <w:instrText xml:space="preserve">PAGEREF _Toc228276529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4F614A71">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"_Toc228276530" </w:instrText>
      </w:r>
      <w:r>
        <w:fldChar w:fldCharType="separate"/>
      </w:r>
      <w:r>
        <w:rPr>
          <w:rStyle w:val="32"/>
        </w:rPr>
        <w:t>7  加工过程</w:t>
      </w:r>
      <w:r>
        <w:rPr>
          <w:rFonts w:hint="eastAsia"/>
        </w:rPr>
        <w:tab/>
      </w:r>
      <w:r>
        <w:rPr>
          <w:rFonts w:hint="eastAsia"/>
        </w:rPr>
        <w:fldChar w:fldCharType="begin"/>
      </w:r>
      <w:r>
        <w:rPr>
          <w:rFonts w:hint="eastAsia"/>
        </w:rPr>
        <w:instrText xml:space="preserve"> </w:instrText>
      </w:r>
      <w:r>
        <w:instrText xml:space="preserve">PAGEREF _Toc228276530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7B1CE46D">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"_Toc228276531" </w:instrText>
      </w:r>
      <w:r>
        <w:fldChar w:fldCharType="separate"/>
      </w:r>
      <w:r>
        <w:rPr>
          <w:rStyle w:val="32"/>
        </w:rPr>
        <w:t>8  质量要求</w:t>
      </w:r>
      <w:r>
        <w:rPr>
          <w:rFonts w:hint="eastAsia"/>
        </w:rPr>
        <w:tab/>
      </w:r>
      <w:r>
        <w:rPr>
          <w:rFonts w:hint="eastAsia"/>
        </w:rPr>
        <w:fldChar w:fldCharType="begin"/>
      </w:r>
      <w:r>
        <w:rPr>
          <w:rFonts w:hint="eastAsia"/>
        </w:rPr>
        <w:instrText xml:space="preserve"> </w:instrText>
      </w:r>
      <w:r>
        <w:instrText xml:space="preserve">PAGEREF _Toc228276531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4743D109">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"_Toc228276532" </w:instrText>
      </w:r>
      <w:r>
        <w:fldChar w:fldCharType="separate"/>
      </w:r>
      <w:r>
        <w:rPr>
          <w:rStyle w:val="32"/>
        </w:rPr>
        <w:t>9  检验规则</w:t>
      </w:r>
      <w:r>
        <w:rPr>
          <w:rFonts w:hint="eastAsia"/>
        </w:rPr>
        <w:tab/>
      </w:r>
      <w:r>
        <w:rPr>
          <w:rFonts w:hint="eastAsia"/>
        </w:rPr>
        <w:fldChar w:fldCharType="begin"/>
      </w:r>
      <w:r>
        <w:rPr>
          <w:rFonts w:hint="eastAsia"/>
        </w:rPr>
        <w:instrText xml:space="preserve"> </w:instrText>
      </w:r>
      <w:r>
        <w:instrText xml:space="preserve">PAGEREF _Toc228276532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167B86F4">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"_Toc228276533" </w:instrText>
      </w:r>
      <w:r>
        <w:fldChar w:fldCharType="separate"/>
      </w:r>
      <w:r>
        <w:rPr>
          <w:rStyle w:val="32"/>
        </w:rPr>
        <w:t>附录A（规范性）  “沁州黄”小米种植过程</w:t>
      </w:r>
      <w:r>
        <w:rPr>
          <w:rFonts w:hint="eastAsia"/>
        </w:rPr>
        <w:tab/>
      </w:r>
      <w:r>
        <w:rPr>
          <w:rFonts w:hint="eastAsia"/>
        </w:rPr>
        <w:fldChar w:fldCharType="begin"/>
      </w:r>
      <w:r>
        <w:rPr>
          <w:rFonts w:hint="eastAsia"/>
        </w:rPr>
        <w:instrText xml:space="preserve"> </w:instrText>
      </w:r>
      <w:r>
        <w:instrText xml:space="preserve">PAGEREF _Toc228276533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326A032B">
      <w:pPr>
        <w:pStyle w:val="91"/>
        <w:spacing w:after="36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21"/>
    <w:p w14:paraId="2C6D2D1A">
      <w:pPr>
        <w:pStyle w:val="89"/>
        <w:spacing w:before="900" w:after="360"/>
      </w:pPr>
      <w:bookmarkStart w:id="26" w:name="_Toc228276522"/>
      <w:bookmarkStart w:id="27" w:name="BookMark2"/>
      <w:r>
        <w:rPr>
          <w:spacing w:val="320"/>
        </w:rPr>
        <w:t>前</w:t>
      </w:r>
      <w:r>
        <w:t>言</w:t>
      </w:r>
      <w:bookmarkEnd w:id="22"/>
      <w:bookmarkEnd w:id="23"/>
      <w:bookmarkEnd w:id="24"/>
      <w:bookmarkEnd w:id="25"/>
      <w:bookmarkEnd w:id="26"/>
    </w:p>
    <w:p w14:paraId="448DA619">
      <w:pPr>
        <w:pStyle w:val="56"/>
        <w:ind w:firstLine="420"/>
      </w:pPr>
      <w:r>
        <w:rPr>
          <w:rFonts w:hint="eastAsia"/>
        </w:rPr>
        <w:t>本文件按照GB/T 1.1—2020《标准化工作导则  第1部分：标准化文件的结构和起草规则》的规定起草。</w:t>
      </w:r>
    </w:p>
    <w:p w14:paraId="624F1ED2">
      <w:pPr>
        <w:pStyle w:val="56"/>
        <w:ind w:firstLine="420"/>
      </w:pPr>
      <w:r>
        <w:rPr>
          <w:rFonts w:hint="eastAsia"/>
        </w:rPr>
        <w:t>请注意本文件的某些内容可能涉及专利。本文件的发布机构不承担识别专利的责任。</w:t>
      </w:r>
    </w:p>
    <w:p w14:paraId="2FC05870">
      <w:pPr>
        <w:pStyle w:val="56"/>
        <w:ind w:firstLine="420"/>
      </w:pPr>
      <w:r>
        <w:rPr>
          <w:rFonts w:hint="eastAsia"/>
        </w:rPr>
        <w:t>本文件由</w:t>
      </w:r>
      <w:bookmarkStart w:id="28" w:name="OLE_LINK28"/>
      <w:r>
        <w:rPr>
          <w:rFonts w:hint="eastAsia"/>
        </w:rPr>
        <w:t>山西省名优土特新产品协会</w:t>
      </w:r>
      <w:bookmarkEnd w:id="28"/>
      <w:r>
        <w:rPr>
          <w:rFonts w:hint="eastAsia"/>
        </w:rPr>
        <w:t>提出并归口。</w:t>
      </w:r>
    </w:p>
    <w:p w14:paraId="6139234D">
      <w:pPr>
        <w:pStyle w:val="56"/>
        <w:ind w:firstLine="420"/>
        <w:rPr>
          <w:rFonts w:hint="default" w:eastAsia="宋体"/>
          <w:lang w:val="en-US" w:eastAsia="zh-CN"/>
        </w:rPr>
      </w:pPr>
      <w:r>
        <w:rPr>
          <w:rFonts w:hint="eastAsia"/>
        </w:rPr>
        <w:t>本文件起草单位：</w:t>
      </w:r>
      <w:r>
        <w:rPr>
          <w:rFonts w:hint="eastAsia"/>
          <w:lang w:val="en-US" w:eastAsia="zh-CN"/>
        </w:rPr>
        <w:t>方圆标志认证集团有限公司、方圆标志认证集团有限公司山西分公司、方圆标志检验检测（山东）有限公司、山西农业大学农学院、山西沁州黄小米集团有限公司、山西农业大学谷子研究所、山西晋美庄园农产品有限公司、山西北方水城食品科技股份有限公司、山西太行沃土农业产品有限公司、武乡县老家农业开发有限公司、长治市中药材产业发展中心（长治市小米产业发展中心）、长治市太行农林产业发展有限公司、神农集团品牌运营管理（山西）有限公司</w:t>
      </w:r>
      <w:bookmarkStart w:id="185" w:name="_GoBack"/>
      <w:bookmarkEnd w:id="185"/>
      <w:r>
        <w:rPr>
          <w:rFonts w:hint="eastAsia"/>
          <w:lang w:val="en-US" w:eastAsia="zh-CN"/>
        </w:rPr>
        <w:t>。</w:t>
      </w:r>
    </w:p>
    <w:p w14:paraId="274D53C9">
      <w:pPr>
        <w:pStyle w:val="56"/>
        <w:ind w:firstLine="420"/>
      </w:pPr>
      <w:r>
        <w:rPr>
          <w:rFonts w:hint="eastAsia"/>
        </w:rPr>
        <w:t>本文件主要起草人：</w:t>
      </w:r>
      <w:r>
        <w:rPr>
          <w:rFonts w:hint="eastAsia"/>
          <w:lang w:val="en-US" w:eastAsia="zh-CN"/>
        </w:rPr>
        <w:t>王雅君、龙科、原向阳、王峰、石耀武、杜文娟、牛永红、吴华伟、张东平、武挺、李强、侯冠辰、赵平珊、焦盼</w:t>
      </w:r>
      <w:r>
        <w:rPr>
          <w:rFonts w:hint="eastAsia"/>
        </w:rPr>
        <w:t>。</w:t>
      </w:r>
    </w:p>
    <w:p w14:paraId="4CE40670">
      <w:pPr>
        <w:pStyle w:val="56"/>
        <w:ind w:firstLine="420"/>
      </w:pPr>
    </w:p>
    <w:p w14:paraId="3661DFEB">
      <w:pPr>
        <w:pStyle w:val="56"/>
        <w:ind w:firstLine="0" w:firstLineChars="0"/>
        <w:sectPr>
          <w:pgSz w:w="11906" w:h="16838"/>
          <w:pgMar w:top="1928" w:right="1134" w:bottom="1134" w:left="1134" w:header="1418" w:footer="1134" w:gutter="284"/>
          <w:pgNumType w:fmt="upperRoman"/>
          <w:cols w:space="425" w:num="1"/>
          <w:formProt w:val="0"/>
          <w:docGrid w:linePitch="312" w:charSpace="0"/>
        </w:sectPr>
      </w:pPr>
    </w:p>
    <w:bookmarkEnd w:id="27"/>
    <w:p w14:paraId="0601CC8F">
      <w:pPr>
        <w:pStyle w:val="89"/>
        <w:spacing w:after="360"/>
      </w:pPr>
      <w:bookmarkStart w:id="29" w:name="_Toc169012251"/>
      <w:bookmarkStart w:id="30" w:name="_Toc169012278"/>
      <w:bookmarkStart w:id="31" w:name="_Toc228276523"/>
      <w:bookmarkStart w:id="32" w:name="_Toc228276493"/>
      <w:bookmarkStart w:id="33" w:name="_Toc29222"/>
      <w:bookmarkStart w:id="34" w:name="BookMark3"/>
      <w:r>
        <w:rPr>
          <w:spacing w:val="320"/>
        </w:rPr>
        <w:t>引</w:t>
      </w:r>
      <w:r>
        <w:t>言</w:t>
      </w:r>
      <w:bookmarkEnd w:id="29"/>
      <w:bookmarkEnd w:id="30"/>
      <w:bookmarkEnd w:id="31"/>
      <w:bookmarkEnd w:id="32"/>
      <w:bookmarkEnd w:id="33"/>
    </w:p>
    <w:p w14:paraId="2D5F8DD7">
      <w:pPr>
        <w:pStyle w:val="56"/>
        <w:rPr>
          <w:rFonts w:hint="eastAsia"/>
        </w:rPr>
      </w:pPr>
      <w:r>
        <w:rPr>
          <w:rFonts w:hint="eastAsia"/>
        </w:rPr>
        <w:t xml:space="preserve"> 沁州黄小米作为山西省长治市的区域公用品牌，凭借当地独特的自然环境、人文历史以及生产加工传统，充分彰显长治市小米产业的高品质。它不仅是一个具有代表性的区域品牌标识，更是长治小米产业的集体象征。该品牌有助于深入挖掘长治生态资源的价值，推动小米产业的规模化与产业化发展，提高品牌的知名度和影响力，为乡村振兴和县域经济发展注入新的动力。 </w:t>
      </w:r>
    </w:p>
    <w:p w14:paraId="6938FBC1">
      <w:pPr>
        <w:pStyle w:val="56"/>
        <w:ind w:firstLine="420"/>
        <w:rPr>
          <w:rFonts w:hint="eastAsia"/>
        </w:rPr>
      </w:pPr>
      <w:r>
        <w:rPr>
          <w:rFonts w:hint="eastAsia"/>
        </w:rPr>
        <w:t>沁州黄小米区域公用品牌所具备的独特品质，源自长治市优越的生态禀赋。长治市位于太行山与太岳山之间，平均海拔处于适宜区间，属于暖温带半湿润大陆性季风气候，具有日照充足、昼夜温差显著、降水适度的特点，且土壤富含矿物质。优良的生态环境为小米生长提供了极为有利的自然条件，也为沁州黄小米产业构筑了坚实的品质根基。</w:t>
      </w:r>
    </w:p>
    <w:p w14:paraId="229B26E6">
      <w:pPr>
        <w:pStyle w:val="56"/>
        <w:ind w:firstLine="420"/>
        <w:rPr>
          <w:rFonts w:hint="eastAsia"/>
        </w:rPr>
      </w:pPr>
      <w:r>
        <w:rPr>
          <w:rFonts w:hint="eastAsia"/>
        </w:rPr>
        <w:t>沁州黄小米区域公用品牌系列团体标准，是开展沁州黄小米区域品牌自愿性认证的核心依据。该标准在对比分析国内外技术指标的基础上，融入过程控制与持续改进的管理理念，形成了一套涵盖管理要素通用要求、行业特色产品及服务技术规范的系列标准，共分为三个层级：第一层级为管理类的《沁州黄小米区域公用品牌通用要求 农食产品》；第二层级为行业类的《</w:t>
      </w:r>
      <w:r>
        <w:rPr>
          <w:rFonts w:hint="eastAsia"/>
          <w:lang w:eastAsia="zh-CN"/>
        </w:rPr>
        <w:t>“</w:t>
      </w:r>
      <w:r>
        <w:rPr>
          <w:rFonts w:hint="eastAsia"/>
        </w:rPr>
        <w:t>沁州黄小米</w:t>
      </w:r>
      <w:r>
        <w:rPr>
          <w:rFonts w:hint="eastAsia"/>
          <w:lang w:eastAsia="zh-CN"/>
        </w:rPr>
        <w:t>”</w:t>
      </w:r>
      <w:r>
        <w:rPr>
          <w:rFonts w:hint="eastAsia"/>
        </w:rPr>
        <w:t>种植技术规范》《</w:t>
      </w:r>
      <w:r>
        <w:rPr>
          <w:rFonts w:hint="eastAsia"/>
          <w:lang w:eastAsia="zh-CN"/>
        </w:rPr>
        <w:t>“</w:t>
      </w:r>
      <w:r>
        <w:rPr>
          <w:rFonts w:hint="eastAsia"/>
        </w:rPr>
        <w:t>沁州黄小米</w:t>
      </w:r>
      <w:r>
        <w:rPr>
          <w:rFonts w:hint="eastAsia"/>
          <w:lang w:eastAsia="zh-CN"/>
        </w:rPr>
        <w:t>”</w:t>
      </w:r>
      <w:r>
        <w:rPr>
          <w:rFonts w:hint="eastAsia"/>
        </w:rPr>
        <w:t>农产品加工管理规范》；第三层级为产品类的《</w:t>
      </w:r>
      <w:r>
        <w:rPr>
          <w:rFonts w:hint="eastAsia"/>
          <w:lang w:eastAsia="zh-CN"/>
        </w:rPr>
        <w:t>“</w:t>
      </w:r>
      <w:r>
        <w:rPr>
          <w:rFonts w:hint="eastAsia"/>
        </w:rPr>
        <w:t>沁州黄小米</w:t>
      </w:r>
      <w:r>
        <w:rPr>
          <w:rFonts w:hint="eastAsia"/>
          <w:lang w:eastAsia="zh-CN"/>
        </w:rPr>
        <w:t>”</w:t>
      </w:r>
      <w:r>
        <w:rPr>
          <w:rFonts w:hint="eastAsia"/>
        </w:rPr>
        <w:t>特色产品技术规范 小米》等。三个层级文件需配套使用。</w:t>
      </w:r>
    </w:p>
    <w:p w14:paraId="166DC6B6">
      <w:pPr>
        <w:pStyle w:val="56"/>
        <w:ind w:firstLine="0" w:firstLineChars="0"/>
      </w:pPr>
      <w:r>
        <w:rPr>
          <w:rFonts w:hint="eastAsia"/>
        </w:rPr>
        <w:t>本文件可作为采用“标准·认证+”培育手段推进沁州黄小米区域公用品牌建设的重要依据，亦可作为沁州黄小米生产经营主体开展生产、经营活动的基本准则。其中，沁州黄小米特色产品，是指根植于独特的自然地理与人文历史，具备核心品质特征的谷物及制品（包括谷子、小米和小米制品）。</w:t>
      </w:r>
    </w:p>
    <w:p w14:paraId="2A0170EA">
      <w:pPr>
        <w:pStyle w:val="56"/>
        <w:ind w:firstLine="0" w:firstLineChars="0"/>
        <w:sectPr>
          <w:pgSz w:w="11906" w:h="16838"/>
          <w:pgMar w:top="1928" w:right="1134" w:bottom="1134" w:left="1134" w:header="1418" w:footer="1134" w:gutter="284"/>
          <w:pgNumType w:fmt="upperRoman"/>
          <w:cols w:space="425" w:num="1"/>
          <w:formProt w:val="0"/>
          <w:docGrid w:linePitch="312" w:charSpace="0"/>
        </w:sectPr>
      </w:pPr>
    </w:p>
    <w:bookmarkEnd w:id="34"/>
    <w:p w14:paraId="1D30AB58">
      <w:pPr>
        <w:spacing w:line="20" w:lineRule="exact"/>
        <w:jc w:val="center"/>
        <w:rPr>
          <w:rFonts w:hint="eastAsia" w:ascii="黑体" w:hAnsi="黑体" w:eastAsia="黑体"/>
          <w:sz w:val="32"/>
          <w:szCs w:val="32"/>
        </w:rPr>
      </w:pPr>
      <w:bookmarkStart w:id="35" w:name="BookMark4"/>
    </w:p>
    <w:p w14:paraId="1E5C6552">
      <w:pPr>
        <w:spacing w:line="20" w:lineRule="exact"/>
        <w:jc w:val="center"/>
        <w:rPr>
          <w:rFonts w:hint="eastAsia" w:ascii="黑体" w:hAnsi="黑体" w:eastAsia="黑体"/>
          <w:sz w:val="32"/>
          <w:szCs w:val="32"/>
        </w:rPr>
      </w:pPr>
    </w:p>
    <w:sdt>
      <w:sdtPr>
        <w:tag w:val="NEW_STAND_NAME"/>
        <w:id w:val="595910757"/>
        <w:lock w:val="sdtLocked"/>
        <w:placeholder>
          <w:docPart w:val="00BB1F979B7443EAB58C31BC8224C4C2"/>
        </w:placeholder>
      </w:sdtPr>
      <w:sdtContent>
        <w:p w14:paraId="22293742">
          <w:pPr>
            <w:pStyle w:val="177"/>
            <w:spacing w:before="240" w:beforeLines="100" w:after="528" w:afterLines="220"/>
            <w:rPr>
              <w:rFonts w:hint="eastAsia"/>
            </w:rPr>
          </w:pPr>
          <w:bookmarkStart w:id="36" w:name="OLE_LINK6"/>
          <w:bookmarkStart w:id="37" w:name="NEW_STAND_NAME"/>
          <w:r>
            <w:t>"</w:t>
          </w:r>
          <w:r>
            <w:rPr>
              <w:rFonts w:hint="eastAsia"/>
            </w:rPr>
            <w:t>沁州黄</w:t>
          </w:r>
          <w:r>
            <w:rPr>
              <w:rFonts w:hint="eastAsia"/>
              <w:lang w:val="en-US" w:eastAsia="zh-CN"/>
            </w:rPr>
            <w:t>小米</w:t>
          </w:r>
          <w:r>
            <w:t xml:space="preserve">" </w:t>
          </w:r>
          <w:r>
            <w:rPr>
              <w:rFonts w:hint="eastAsia"/>
            </w:rPr>
            <w:t>特色</w:t>
          </w:r>
          <w:r>
            <w:t>产品技术规范 小米</w:t>
          </w:r>
        </w:p>
      </w:sdtContent>
    </w:sdt>
    <w:bookmarkEnd w:id="36"/>
    <w:bookmarkEnd w:id="37"/>
    <w:p w14:paraId="43A48087">
      <w:pPr>
        <w:pStyle w:val="104"/>
        <w:spacing w:before="240" w:after="240"/>
      </w:pPr>
      <w:bookmarkStart w:id="38" w:name="_Toc26648465"/>
      <w:bookmarkStart w:id="39" w:name="_Toc24884211"/>
      <w:bookmarkStart w:id="40" w:name="_Toc228276524"/>
      <w:bookmarkStart w:id="41" w:name="_Toc17233325"/>
      <w:bookmarkStart w:id="42" w:name="_Toc30347"/>
      <w:bookmarkStart w:id="43" w:name="_Toc169009893"/>
      <w:bookmarkStart w:id="44" w:name="_Toc17233333"/>
      <w:bookmarkStart w:id="45" w:name="_Toc26986771"/>
      <w:bookmarkStart w:id="46" w:name="_Toc26718930"/>
      <w:bookmarkStart w:id="47" w:name="_Toc26986530"/>
      <w:bookmarkStart w:id="48" w:name="_Toc24884218"/>
      <w:bookmarkStart w:id="49" w:name="_Toc169012279"/>
      <w:bookmarkStart w:id="50" w:name="_Toc228276494"/>
      <w:bookmarkStart w:id="51" w:name="_Toc169012252"/>
      <w:bookmarkStart w:id="52" w:name="_Toc97192964"/>
      <w:r>
        <w:rPr>
          <w:rFonts w:hint="eastAsia"/>
        </w:rPr>
        <w:t>范围</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7A3D7B29">
      <w:pPr>
        <w:pStyle w:val="56"/>
        <w:ind w:firstLine="420"/>
      </w:pPr>
      <w:bookmarkStart w:id="53" w:name="OLE_LINK23"/>
      <w:bookmarkStart w:id="54" w:name="OLE_LINK8"/>
      <w:bookmarkStart w:id="55" w:name="OLE_LINK14"/>
      <w:bookmarkStart w:id="56" w:name="_Toc17233334"/>
      <w:bookmarkStart w:id="57" w:name="_Toc17233326"/>
      <w:bookmarkStart w:id="58" w:name="_Toc24884219"/>
      <w:bookmarkStart w:id="59" w:name="_Toc24884212"/>
      <w:bookmarkStart w:id="60" w:name="_Toc26648466"/>
      <w:r>
        <w:rPr>
          <w:rFonts w:hint="eastAsia"/>
        </w:rPr>
        <w:t>本文件规定了沁州黄小米的气候条件、种植过程、谷子质量、加工过程、质量要求和检验规则的要求。</w:t>
      </w:r>
      <w:bookmarkEnd w:id="53"/>
    </w:p>
    <w:bookmarkEnd w:id="54"/>
    <w:p w14:paraId="7367C7B0">
      <w:pPr>
        <w:pStyle w:val="56"/>
        <w:ind w:firstLine="420"/>
      </w:pPr>
      <w:bookmarkStart w:id="61" w:name="OLE_LINK7"/>
      <w:bookmarkStart w:id="62" w:name="OLE_LINK9"/>
      <w:r>
        <w:rPr>
          <w:rFonts w:hint="eastAsia"/>
        </w:rPr>
        <w:t>本文件适用于山西省长治市域内，沁州黄小米生产经营者的自我评价和第三方认证。</w:t>
      </w:r>
      <w:bookmarkEnd w:id="55"/>
      <w:bookmarkEnd w:id="61"/>
    </w:p>
    <w:bookmarkEnd w:id="62"/>
    <w:p w14:paraId="5AC7FBA7">
      <w:pPr>
        <w:pStyle w:val="104"/>
        <w:spacing w:before="240" w:after="240"/>
      </w:pPr>
      <w:bookmarkStart w:id="63" w:name="_Toc228276525"/>
      <w:bookmarkStart w:id="64" w:name="_Toc169012253"/>
      <w:bookmarkStart w:id="65" w:name="_Toc23456"/>
      <w:bookmarkStart w:id="66" w:name="_Toc169012280"/>
      <w:bookmarkStart w:id="67" w:name="_Toc228276495"/>
      <w:bookmarkStart w:id="68" w:name="_Toc169009894"/>
      <w:bookmarkStart w:id="69" w:name="_Toc26718931"/>
      <w:bookmarkStart w:id="70" w:name="_Toc26986531"/>
      <w:bookmarkStart w:id="71" w:name="_Toc97192965"/>
      <w:bookmarkStart w:id="72" w:name="_Toc26986772"/>
      <w:r>
        <w:rPr>
          <w:rFonts w:hint="eastAsia"/>
        </w:rPr>
        <w:t>规范性引用文件</w:t>
      </w:r>
      <w:bookmarkEnd w:id="56"/>
      <w:bookmarkEnd w:id="57"/>
      <w:bookmarkEnd w:id="58"/>
      <w:bookmarkEnd w:id="59"/>
      <w:bookmarkEnd w:id="60"/>
      <w:bookmarkEnd w:id="63"/>
      <w:bookmarkEnd w:id="64"/>
      <w:bookmarkEnd w:id="65"/>
      <w:bookmarkEnd w:id="66"/>
      <w:bookmarkEnd w:id="67"/>
      <w:bookmarkEnd w:id="68"/>
      <w:bookmarkEnd w:id="69"/>
      <w:bookmarkEnd w:id="70"/>
      <w:bookmarkEnd w:id="71"/>
      <w:bookmarkEnd w:id="72"/>
    </w:p>
    <w:sdt>
      <w:sdtPr>
        <w:rPr>
          <w:rFonts w:hint="eastAsia"/>
        </w:rPr>
        <w:id w:val="715848253"/>
        <w:placeholder>
          <w:docPart w:val="D42DA4045D1B478188AC89DDAFEDE4F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00494C93">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75FF24A">
      <w:pPr>
        <w:pStyle w:val="56"/>
        <w:ind w:firstLine="420"/>
      </w:pPr>
      <w:bookmarkStart w:id="73" w:name="OLE_LINK60"/>
      <w:bookmarkStart w:id="74" w:name="OLE_LINK3"/>
      <w:bookmarkStart w:id="75" w:name="OLE_LINK15"/>
      <w:r>
        <w:rPr>
          <w:rFonts w:hint="eastAsia"/>
        </w:rPr>
        <w:t>GB 2715  食品安全国家标准 粮食</w:t>
      </w:r>
      <w:bookmarkEnd w:id="73"/>
    </w:p>
    <w:p w14:paraId="0BE4929B">
      <w:pPr>
        <w:pStyle w:val="56"/>
        <w:ind w:firstLine="420"/>
      </w:pPr>
      <w:r>
        <w:rPr>
          <w:rFonts w:hint="eastAsia"/>
        </w:rPr>
        <w:t>GB 2761  食品安全国家标准 食品中真菌毒素限量</w:t>
      </w:r>
    </w:p>
    <w:p w14:paraId="04F933F9">
      <w:pPr>
        <w:pStyle w:val="56"/>
        <w:ind w:firstLine="420"/>
      </w:pPr>
      <w:r>
        <w:rPr>
          <w:rFonts w:hint="eastAsia"/>
        </w:rPr>
        <w:t>GB 2762</w:t>
      </w:r>
      <w:bookmarkEnd w:id="74"/>
      <w:r>
        <w:rPr>
          <w:rFonts w:hint="eastAsia"/>
        </w:rPr>
        <w:t xml:space="preserve">  食品安全国家标准 食品中污染物限量</w:t>
      </w:r>
    </w:p>
    <w:p w14:paraId="78F99663">
      <w:pPr>
        <w:pStyle w:val="56"/>
        <w:ind w:firstLine="420"/>
      </w:pPr>
      <w:r>
        <w:rPr>
          <w:rFonts w:hint="eastAsia"/>
        </w:rPr>
        <w:t>GB 2763  食品安全国家标准 食品中农药最大残留限量</w:t>
      </w:r>
    </w:p>
    <w:p w14:paraId="58B057B9">
      <w:pPr>
        <w:pStyle w:val="56"/>
        <w:ind w:firstLine="420"/>
      </w:pPr>
      <w:r>
        <w:rPr>
          <w:rFonts w:hint="eastAsia"/>
        </w:rPr>
        <w:t>GB 5009.5 食品安全国家标准 食品中蛋白质的测定</w:t>
      </w:r>
    </w:p>
    <w:p w14:paraId="28887BF6">
      <w:pPr>
        <w:pStyle w:val="56"/>
        <w:ind w:firstLine="420"/>
      </w:pPr>
      <w:r>
        <w:rPr>
          <w:rFonts w:hint="eastAsia"/>
        </w:rPr>
        <w:t>GB 5009.6  食品安全国家标准 食品中脂肪的测定</w:t>
      </w:r>
    </w:p>
    <w:p w14:paraId="3279670E">
      <w:pPr>
        <w:pStyle w:val="56"/>
        <w:ind w:firstLine="420"/>
      </w:pPr>
      <w:r>
        <w:rPr>
          <w:rFonts w:hint="eastAsia"/>
        </w:rPr>
        <w:t>GB 5009.14  食品安全国家标准 食品中锌的测定</w:t>
      </w:r>
    </w:p>
    <w:p w14:paraId="169BBAB7">
      <w:pPr>
        <w:pStyle w:val="56"/>
        <w:ind w:firstLine="420"/>
      </w:pPr>
      <w:r>
        <w:rPr>
          <w:rFonts w:hint="eastAsia"/>
        </w:rPr>
        <w:t>GB 5009.92  食品安全国家标准 食品中钙的测定</w:t>
      </w:r>
    </w:p>
    <w:p w14:paraId="758419DF">
      <w:pPr>
        <w:pStyle w:val="56"/>
        <w:ind w:firstLine="420"/>
      </w:pPr>
      <w:r>
        <w:rPr>
          <w:rFonts w:hint="eastAsia"/>
        </w:rPr>
        <w:t>GB 5009.124  食品安全国家标准 食品中氨基酸的测定</w:t>
      </w:r>
    </w:p>
    <w:p w14:paraId="7E77DF7E">
      <w:pPr>
        <w:pStyle w:val="56"/>
        <w:ind w:firstLine="420"/>
      </w:pPr>
      <w:r>
        <w:rPr>
          <w:rFonts w:hint="eastAsia"/>
        </w:rPr>
        <w:t>GB 5009.211  食品安全国家标准 食品中叶酸的测定</w:t>
      </w:r>
    </w:p>
    <w:p w14:paraId="2188E256">
      <w:pPr>
        <w:pStyle w:val="56"/>
        <w:ind w:firstLine="420"/>
      </w:pPr>
      <w:r>
        <w:rPr>
          <w:rFonts w:hint="eastAsia"/>
        </w:rPr>
        <w:t>GB/T 5492  粮油检验 粮食、油料的色泽、气味、口味鉴定</w:t>
      </w:r>
    </w:p>
    <w:p w14:paraId="58B860E2">
      <w:pPr>
        <w:pStyle w:val="56"/>
        <w:ind w:firstLine="420"/>
      </w:pPr>
      <w:r>
        <w:rPr>
          <w:rFonts w:hint="eastAsia"/>
        </w:rPr>
        <w:t>GB 5749  生活饮用水卫生标准</w:t>
      </w:r>
    </w:p>
    <w:p w14:paraId="76BBEA19">
      <w:pPr>
        <w:pStyle w:val="56"/>
        <w:ind w:firstLine="420"/>
      </w:pPr>
      <w:r>
        <w:rPr>
          <w:rFonts w:hint="eastAsia"/>
        </w:rPr>
        <w:t>GB 7648  水稻、玉米、谷子籽粒直链淀粉测定法</w:t>
      </w:r>
    </w:p>
    <w:p w14:paraId="07AA4DAD">
      <w:pPr>
        <w:pStyle w:val="56"/>
        <w:ind w:firstLine="420"/>
      </w:pPr>
      <w:bookmarkStart w:id="76" w:name="OLE_LINK59"/>
      <w:r>
        <w:rPr>
          <w:rFonts w:hint="eastAsia"/>
        </w:rPr>
        <w:t>GB/T 8232  粟</w:t>
      </w:r>
      <w:bookmarkEnd w:id="76"/>
    </w:p>
    <w:p w14:paraId="373CBF91">
      <w:pPr>
        <w:pStyle w:val="56"/>
        <w:ind w:firstLine="420"/>
      </w:pPr>
      <w:r>
        <w:rPr>
          <w:rFonts w:hint="eastAsia"/>
        </w:rPr>
        <w:t>GB/T 8321(所有部分)  农药合理使用准则</w:t>
      </w:r>
    </w:p>
    <w:p w14:paraId="05241BA6">
      <w:pPr>
        <w:pStyle w:val="56"/>
        <w:ind w:firstLine="420"/>
      </w:pPr>
      <w:bookmarkStart w:id="77" w:name="OLE_LINK58"/>
      <w:r>
        <w:rPr>
          <w:rFonts w:hint="eastAsia"/>
        </w:rPr>
        <w:t>GB/T 11766  小米</w:t>
      </w:r>
      <w:bookmarkEnd w:id="77"/>
    </w:p>
    <w:p w14:paraId="75701301">
      <w:pPr>
        <w:pStyle w:val="56"/>
        <w:ind w:firstLine="420"/>
      </w:pPr>
      <w:r>
        <w:rPr>
          <w:rFonts w:hint="eastAsia"/>
        </w:rPr>
        <w:t>GB 13122  食品安全国家标准 谷物加工卫生规范</w:t>
      </w:r>
    </w:p>
    <w:p w14:paraId="4F81E774">
      <w:pPr>
        <w:pStyle w:val="56"/>
        <w:ind w:firstLine="420"/>
      </w:pPr>
      <w:r>
        <w:rPr>
          <w:rFonts w:hint="eastAsia"/>
        </w:rPr>
        <w:t>NY/T 83  米质测定方法</w:t>
      </w:r>
    </w:p>
    <w:p w14:paraId="225E25B7">
      <w:pPr>
        <w:pStyle w:val="56"/>
        <w:ind w:firstLine="420"/>
      </w:pPr>
      <w:r>
        <w:rPr>
          <w:rFonts w:hint="eastAsia"/>
        </w:rPr>
        <w:t>NY/T 496  肥料合理使用准则 通则</w:t>
      </w:r>
    </w:p>
    <w:p w14:paraId="473EFFE1">
      <w:pPr>
        <w:pStyle w:val="56"/>
        <w:ind w:firstLine="420"/>
      </w:pPr>
      <w:r>
        <w:rPr>
          <w:rFonts w:hint="eastAsia"/>
        </w:rPr>
        <w:t>NY/T 1276  农药安全使用规范总则</w:t>
      </w:r>
      <w:bookmarkEnd w:id="75"/>
    </w:p>
    <w:p w14:paraId="42797810">
      <w:pPr>
        <w:pStyle w:val="104"/>
        <w:spacing w:before="240" w:after="240"/>
      </w:pPr>
      <w:bookmarkStart w:id="78" w:name="_Toc25347"/>
      <w:bookmarkStart w:id="79" w:name="_Toc97192966"/>
      <w:bookmarkStart w:id="80" w:name="_Toc169012254"/>
      <w:bookmarkStart w:id="81" w:name="_Toc228276526"/>
      <w:bookmarkStart w:id="82" w:name="_Toc169009895"/>
      <w:bookmarkStart w:id="83" w:name="_Toc169012281"/>
      <w:bookmarkStart w:id="84" w:name="_Toc228276496"/>
      <w:r>
        <w:rPr>
          <w:rFonts w:hint="eastAsia"/>
          <w:szCs w:val="21"/>
        </w:rPr>
        <w:t>术语和定义</w:t>
      </w:r>
      <w:bookmarkEnd w:id="78"/>
      <w:bookmarkEnd w:id="79"/>
      <w:bookmarkEnd w:id="80"/>
      <w:bookmarkEnd w:id="81"/>
      <w:bookmarkEnd w:id="82"/>
      <w:bookmarkEnd w:id="83"/>
      <w:bookmarkEnd w:id="84"/>
    </w:p>
    <w:sdt>
      <w:sdtPr>
        <w:id w:val="-1909835108"/>
        <w:placeholder>
          <w:docPart w:val="0A41B81AFC3C4E11B339027A7C91064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1D78B99E">
          <w:pPr>
            <w:pStyle w:val="56"/>
            <w:ind w:firstLine="420"/>
          </w:pPr>
          <w:bookmarkStart w:id="85" w:name="_Toc26986532"/>
          <w:bookmarkEnd w:id="85"/>
          <w:bookmarkStart w:id="86" w:name="OLE_LINK24"/>
          <w:r>
            <w:rPr>
              <w:rFonts w:hint="eastAsia"/>
            </w:rPr>
            <w:t>T/SXYTXX-XXXX《沁州黄小米区域公用品牌通用要求 农食产品》</w:t>
          </w:r>
          <w:r>
            <w:t>界定的术语和定义适用于本文件</w:t>
          </w:r>
          <w:bookmarkEnd w:id="86"/>
          <w:r>
            <w:t>。</w:t>
          </w:r>
        </w:p>
      </w:sdtContent>
    </w:sdt>
    <w:p w14:paraId="52758514">
      <w:pPr>
        <w:pStyle w:val="104"/>
        <w:spacing w:before="240" w:after="240"/>
      </w:pPr>
      <w:bookmarkStart w:id="87" w:name="_Toc169012282"/>
      <w:bookmarkStart w:id="88" w:name="_Toc16547"/>
      <w:bookmarkStart w:id="89" w:name="OLE_LINK17"/>
      <w:bookmarkStart w:id="90" w:name="_Toc228276497"/>
      <w:bookmarkStart w:id="91" w:name="_Toc169012255"/>
      <w:bookmarkStart w:id="92" w:name="_Toc228276527"/>
      <w:r>
        <w:rPr>
          <w:rFonts w:hint="eastAsia"/>
        </w:rPr>
        <w:t>气候条件</w:t>
      </w:r>
      <w:bookmarkEnd w:id="87"/>
      <w:bookmarkEnd w:id="88"/>
      <w:bookmarkEnd w:id="89"/>
      <w:bookmarkEnd w:id="90"/>
      <w:bookmarkEnd w:id="91"/>
      <w:bookmarkEnd w:id="92"/>
    </w:p>
    <w:p w14:paraId="257CC888">
      <w:pPr>
        <w:pStyle w:val="56"/>
        <w:ind w:firstLine="420"/>
      </w:pPr>
      <w:bookmarkStart w:id="93" w:name="OLE_LINK18"/>
      <w:r>
        <w:rPr>
          <w:rFonts w:hint="eastAsia"/>
        </w:rPr>
        <w:t>沁州黄小米原料（谷子）产地应满足以下气候条件：</w:t>
      </w:r>
    </w:p>
    <w:p w14:paraId="0EC7D1F1">
      <w:pPr>
        <w:pStyle w:val="174"/>
      </w:pPr>
      <w:r>
        <w:rPr>
          <w:rFonts w:hint="eastAsia"/>
        </w:rPr>
        <w:t>年日照时数2300 h以上；</w:t>
      </w:r>
    </w:p>
    <w:p w14:paraId="277BB4EA">
      <w:pPr>
        <w:pStyle w:val="174"/>
      </w:pPr>
      <w:r>
        <w:rPr>
          <w:rFonts w:hint="eastAsia"/>
        </w:rPr>
        <w:t>≥10 ℃年有效积温2900 ℃～3250 ℃；</w:t>
      </w:r>
    </w:p>
    <w:p w14:paraId="54AC48BB">
      <w:pPr>
        <w:pStyle w:val="174"/>
      </w:pPr>
      <w:r>
        <w:rPr>
          <w:rFonts w:hint="eastAsia"/>
        </w:rPr>
        <w:t>年平均气温8</w:t>
      </w:r>
      <w:bookmarkStart w:id="94" w:name="OLE_LINK30"/>
      <w:r>
        <w:rPr>
          <w:rFonts w:hint="eastAsia"/>
        </w:rPr>
        <w:t xml:space="preserve"> ℃～</w:t>
      </w:r>
      <w:bookmarkEnd w:id="94"/>
      <w:r>
        <w:rPr>
          <w:rFonts w:hint="eastAsia"/>
        </w:rPr>
        <w:t>10 ℃；</w:t>
      </w:r>
    </w:p>
    <w:p w14:paraId="07680846">
      <w:pPr>
        <w:pStyle w:val="174"/>
      </w:pPr>
      <w:r>
        <w:rPr>
          <w:rFonts w:hint="eastAsia"/>
        </w:rPr>
        <w:t>无霜期160 d</w:t>
      </w:r>
      <w:bookmarkStart w:id="95" w:name="OLE_LINK31"/>
      <w:r>
        <w:rPr>
          <w:rFonts w:hint="eastAsia"/>
        </w:rPr>
        <w:t>～240 d</w:t>
      </w:r>
      <w:bookmarkEnd w:id="95"/>
      <w:r>
        <w:rPr>
          <w:rFonts w:hint="eastAsia"/>
        </w:rPr>
        <w:t>；</w:t>
      </w:r>
    </w:p>
    <w:p w14:paraId="05CF28FF">
      <w:pPr>
        <w:pStyle w:val="174"/>
      </w:pPr>
      <w:r>
        <w:rPr>
          <w:rFonts w:hint="eastAsia"/>
        </w:rPr>
        <w:t>年平均降雨量400 mm～600 mm。</w:t>
      </w:r>
    </w:p>
    <w:bookmarkEnd w:id="93"/>
    <w:p w14:paraId="63D3379F">
      <w:pPr>
        <w:pStyle w:val="104"/>
        <w:spacing w:before="240" w:after="240"/>
      </w:pPr>
      <w:bookmarkStart w:id="96" w:name="_Toc169012283"/>
      <w:bookmarkStart w:id="97" w:name="OLE_LINK19"/>
      <w:bookmarkStart w:id="98" w:name="_Toc228276528"/>
      <w:bookmarkStart w:id="99" w:name="_Toc169012256"/>
      <w:bookmarkStart w:id="100" w:name="_Toc17750"/>
      <w:bookmarkStart w:id="101" w:name="_Toc228276498"/>
      <w:r>
        <w:rPr>
          <w:rFonts w:hint="eastAsia"/>
        </w:rPr>
        <w:t>种植过程</w:t>
      </w:r>
      <w:bookmarkEnd w:id="96"/>
      <w:bookmarkEnd w:id="97"/>
      <w:bookmarkEnd w:id="98"/>
      <w:bookmarkEnd w:id="99"/>
      <w:bookmarkEnd w:id="100"/>
      <w:bookmarkEnd w:id="101"/>
    </w:p>
    <w:p w14:paraId="7E92AE9B">
      <w:pPr>
        <w:pStyle w:val="162"/>
      </w:pPr>
      <w:bookmarkStart w:id="102" w:name="OLE_LINK21"/>
      <w:r>
        <w:rPr>
          <w:rFonts w:hint="eastAsia"/>
        </w:rPr>
        <w:t>应选用经过国家、省级管理部门登记的</w:t>
      </w:r>
      <w:bookmarkStart w:id="103" w:name="OLE_LINK25"/>
      <w:r>
        <w:rPr>
          <w:rFonts w:hint="eastAsia"/>
        </w:rPr>
        <w:t>品种</w:t>
      </w:r>
      <w:bookmarkEnd w:id="103"/>
      <w:r>
        <w:rPr>
          <w:rFonts w:hint="eastAsia"/>
        </w:rPr>
        <w:t>，且生育期适宜，优质、抗逆、丰产性好，如选用晋谷40、沁黄3号、长农47号、长生07</w:t>
      </w:r>
      <w:r>
        <w:rPr>
          <w:rFonts w:hint="eastAsia"/>
          <w:lang w:eastAsia="zh-CN"/>
        </w:rPr>
        <w:t>、</w:t>
      </w:r>
      <w:r>
        <w:rPr>
          <w:rFonts w:hint="eastAsia"/>
        </w:rPr>
        <w:t>长杂谷466、晋谷21、中谷19等优质品种。</w:t>
      </w:r>
      <w:bookmarkEnd w:id="102"/>
    </w:p>
    <w:p w14:paraId="038295C3">
      <w:pPr>
        <w:pStyle w:val="162"/>
      </w:pPr>
      <w:bookmarkStart w:id="104" w:name="OLE_LINK29"/>
      <w:r>
        <w:rPr>
          <w:rFonts w:hint="eastAsia"/>
          <w:lang w:val="en-US" w:eastAsia="zh-CN"/>
        </w:rPr>
        <w:t>沁州黄小米</w:t>
      </w:r>
      <w:r>
        <w:t>选地</w:t>
      </w:r>
      <w:r>
        <w:rPr>
          <w:rFonts w:hint="eastAsia"/>
        </w:rPr>
        <w:t>、整地施肥、播种、田间管理、病虫害防治和收获</w:t>
      </w:r>
      <w:bookmarkEnd w:id="104"/>
      <w:r>
        <w:rPr>
          <w:rFonts w:hint="eastAsia"/>
        </w:rPr>
        <w:t>的要求见附录A。</w:t>
      </w:r>
    </w:p>
    <w:p w14:paraId="6B189808">
      <w:pPr>
        <w:pStyle w:val="104"/>
        <w:spacing w:before="240" w:after="240"/>
      </w:pPr>
      <w:bookmarkStart w:id="105" w:name="_Toc228276529"/>
      <w:bookmarkStart w:id="106" w:name="_Toc13236"/>
      <w:bookmarkStart w:id="107" w:name="OLE_LINK43"/>
      <w:bookmarkStart w:id="108" w:name="_Toc228276499"/>
      <w:bookmarkStart w:id="109" w:name="OLE_LINK26"/>
      <w:r>
        <w:rPr>
          <w:rFonts w:hint="eastAsia"/>
        </w:rPr>
        <w:t>谷子质量</w:t>
      </w:r>
      <w:bookmarkEnd w:id="105"/>
      <w:bookmarkEnd w:id="106"/>
      <w:bookmarkEnd w:id="107"/>
      <w:bookmarkEnd w:id="108"/>
    </w:p>
    <w:p w14:paraId="6460AECB">
      <w:pPr>
        <w:pStyle w:val="56"/>
        <w:ind w:firstLine="420"/>
      </w:pPr>
      <w:bookmarkStart w:id="110" w:name="OLE_LINK51"/>
      <w:r>
        <w:t>沁州黄谷子的品质应符合GB/T 8232的质量要求。</w:t>
      </w:r>
    </w:p>
    <w:bookmarkEnd w:id="109"/>
    <w:bookmarkEnd w:id="110"/>
    <w:p w14:paraId="015072B0">
      <w:pPr>
        <w:pStyle w:val="104"/>
        <w:spacing w:before="240" w:after="240"/>
      </w:pPr>
      <w:bookmarkStart w:id="111" w:name="OLE_LINK52"/>
      <w:bookmarkStart w:id="112" w:name="_Toc228276530"/>
      <w:bookmarkStart w:id="113" w:name="_Toc228276500"/>
      <w:bookmarkStart w:id="114" w:name="_Toc169012264"/>
      <w:bookmarkStart w:id="115" w:name="_Toc13226"/>
      <w:bookmarkStart w:id="116" w:name="_Toc169012284"/>
      <w:bookmarkStart w:id="117" w:name="OLE_LINK27"/>
      <w:r>
        <w:rPr>
          <w:rFonts w:hint="eastAsia"/>
        </w:rPr>
        <w:t>加工过程</w:t>
      </w:r>
      <w:bookmarkEnd w:id="111"/>
      <w:bookmarkEnd w:id="112"/>
      <w:bookmarkEnd w:id="113"/>
      <w:bookmarkEnd w:id="114"/>
      <w:bookmarkEnd w:id="115"/>
      <w:bookmarkEnd w:id="116"/>
    </w:p>
    <w:p w14:paraId="216AB297">
      <w:pPr>
        <w:pStyle w:val="105"/>
        <w:spacing w:before="120" w:after="120"/>
      </w:pPr>
      <w:bookmarkStart w:id="118" w:name="_Toc169012265"/>
      <w:bookmarkStart w:id="119" w:name="_Toc228276501"/>
      <w:r>
        <w:rPr>
          <w:rFonts w:hint="eastAsia"/>
        </w:rPr>
        <w:t>通用要求</w:t>
      </w:r>
      <w:bookmarkEnd w:id="118"/>
      <w:bookmarkEnd w:id="119"/>
    </w:p>
    <w:p w14:paraId="7EBFAE2B">
      <w:pPr>
        <w:pStyle w:val="56"/>
        <w:ind w:firstLine="420"/>
      </w:pPr>
      <w:r>
        <w:t>沁州黄</w:t>
      </w:r>
      <w:r>
        <w:rPr>
          <w:rFonts w:hint="eastAsia"/>
        </w:rPr>
        <w:t>小米的加工过程的管理应符合GB 13122的规定，不应使用食品添加剂。</w:t>
      </w:r>
    </w:p>
    <w:p w14:paraId="33A3167C">
      <w:pPr>
        <w:pStyle w:val="105"/>
        <w:spacing w:before="120" w:after="120"/>
      </w:pPr>
      <w:bookmarkStart w:id="120" w:name="_Toc228276502"/>
      <w:bookmarkStart w:id="121" w:name="_Toc169012266"/>
      <w:r>
        <w:rPr>
          <w:rFonts w:hint="eastAsia"/>
        </w:rPr>
        <w:t>原料要求</w:t>
      </w:r>
      <w:bookmarkEnd w:id="120"/>
      <w:bookmarkEnd w:id="121"/>
    </w:p>
    <w:p w14:paraId="06498038">
      <w:pPr>
        <w:pStyle w:val="56"/>
        <w:ind w:firstLine="420"/>
      </w:pPr>
      <w:r>
        <w:rPr>
          <w:rFonts w:hint="eastAsia"/>
        </w:rPr>
        <w:t>加工的原料应是长治本地生产的谷子，其质量应符合第6章的要求。</w:t>
      </w:r>
    </w:p>
    <w:p w14:paraId="2DABC864">
      <w:pPr>
        <w:pStyle w:val="105"/>
        <w:spacing w:before="120" w:after="120"/>
      </w:pPr>
      <w:bookmarkStart w:id="122" w:name="_Toc228276503"/>
      <w:r>
        <w:rPr>
          <w:rFonts w:hint="eastAsia"/>
        </w:rPr>
        <w:t>加工工艺</w:t>
      </w:r>
      <w:bookmarkEnd w:id="122"/>
    </w:p>
    <w:p w14:paraId="67F5519A">
      <w:pPr>
        <w:pStyle w:val="56"/>
        <w:ind w:firstLine="420"/>
      </w:pPr>
      <w:r>
        <w:rPr>
          <w:rFonts w:hint="eastAsia"/>
        </w:rPr>
        <w:t>原料（谷子）入库→</w:t>
      </w:r>
      <w:bookmarkStart w:id="123" w:name="OLE_LINK34"/>
      <w:r>
        <w:rPr>
          <w:rFonts w:hint="eastAsia"/>
        </w:rPr>
        <w:t>原粮清理</w:t>
      </w:r>
      <w:bookmarkEnd w:id="123"/>
      <w:r>
        <w:rPr>
          <w:rFonts w:hint="eastAsia"/>
        </w:rPr>
        <w:t>（去石、磁选）→砻谷脱壳→碾米→筛选分级→检验→定量包装→入库。抛光过程用水应符合GB 5749的要求。</w:t>
      </w:r>
    </w:p>
    <w:p w14:paraId="27408FCD">
      <w:pPr>
        <w:pStyle w:val="105"/>
        <w:spacing w:before="120" w:after="120"/>
      </w:pPr>
      <w:bookmarkStart w:id="124" w:name="_Toc228276504"/>
      <w:bookmarkStart w:id="125" w:name="OLE_LINK53"/>
      <w:r>
        <w:rPr>
          <w:rFonts w:hint="eastAsia"/>
        </w:rPr>
        <w:t>关键环节</w:t>
      </w:r>
      <w:bookmarkEnd w:id="124"/>
      <w:bookmarkEnd w:id="125"/>
    </w:p>
    <w:p w14:paraId="5EBF2556">
      <w:pPr>
        <w:pStyle w:val="165"/>
      </w:pPr>
      <w:r>
        <w:t>原粮清理时，应每2 h检查金属物吸附情况，必要时去除；定期检查筛面情况,及时除去筛面堵塞物。</w:t>
      </w:r>
    </w:p>
    <w:p w14:paraId="27AF430A">
      <w:pPr>
        <w:pStyle w:val="165"/>
      </w:pPr>
      <w:r>
        <w:t>碾米过程中，应控制风量大小，小米温度应≤35 ℃，防止小米流失。</w:t>
      </w:r>
    </w:p>
    <w:p w14:paraId="7AFD272B">
      <w:pPr>
        <w:pStyle w:val="165"/>
      </w:pPr>
      <w:r>
        <w:t>定量包装时成品库室温应控制在0 ℃～10</w:t>
      </w:r>
      <w:bookmarkStart w:id="126" w:name="OLE_LINK33"/>
      <w:r>
        <w:t xml:space="preserve"> ℃</w:t>
      </w:r>
      <w:bookmarkEnd w:id="126"/>
      <w:r>
        <w:t>；产品留样应设置在成品库内。</w:t>
      </w:r>
    </w:p>
    <w:p w14:paraId="40BE604E">
      <w:pPr>
        <w:pStyle w:val="104"/>
        <w:spacing w:before="240" w:after="240"/>
      </w:pPr>
      <w:bookmarkStart w:id="127" w:name="OLE_LINK37"/>
      <w:bookmarkStart w:id="128" w:name="_Toc228276505"/>
      <w:bookmarkStart w:id="129" w:name="_Toc228276531"/>
      <w:bookmarkStart w:id="130" w:name="_Toc169012285"/>
      <w:bookmarkStart w:id="131" w:name="_Toc20807"/>
      <w:bookmarkStart w:id="132" w:name="_Toc169012267"/>
      <w:r>
        <w:rPr>
          <w:rFonts w:hint="eastAsia"/>
        </w:rPr>
        <w:t>质量要求</w:t>
      </w:r>
      <w:bookmarkEnd w:id="127"/>
      <w:bookmarkEnd w:id="128"/>
      <w:bookmarkEnd w:id="129"/>
      <w:bookmarkEnd w:id="130"/>
      <w:bookmarkEnd w:id="131"/>
      <w:bookmarkEnd w:id="132"/>
    </w:p>
    <w:p w14:paraId="22326093">
      <w:pPr>
        <w:pStyle w:val="105"/>
        <w:spacing w:before="120" w:after="120"/>
      </w:pPr>
      <w:bookmarkStart w:id="133" w:name="_Toc169012268"/>
      <w:bookmarkStart w:id="134" w:name="_Toc228276506"/>
      <w:bookmarkStart w:id="135" w:name="OLE_LINK38"/>
      <w:r>
        <w:rPr>
          <w:rFonts w:hint="eastAsia"/>
        </w:rPr>
        <w:t>感官要求</w:t>
      </w:r>
      <w:bookmarkEnd w:id="133"/>
      <w:bookmarkEnd w:id="134"/>
      <w:bookmarkEnd w:id="135"/>
    </w:p>
    <w:p w14:paraId="3EF3A4C0">
      <w:pPr>
        <w:pStyle w:val="56"/>
        <w:ind w:firstLine="420"/>
      </w:pPr>
      <w:r>
        <w:rPr>
          <w:rFonts w:hint="eastAsia"/>
        </w:rPr>
        <w:t>感官要求见表 1 。</w:t>
      </w:r>
    </w:p>
    <w:p w14:paraId="66CB1123">
      <w:pPr>
        <w:pStyle w:val="112"/>
        <w:spacing w:before="120" w:after="120"/>
      </w:pPr>
      <w:r>
        <w:rPr>
          <w:rFonts w:hint="eastAsia"/>
        </w:rPr>
        <w:t>感官要求</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542"/>
        <w:gridCol w:w="3680"/>
        <w:gridCol w:w="3112"/>
      </w:tblGrid>
      <w:tr w14:paraId="0C9F986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542" w:type="dxa"/>
            <w:tcBorders>
              <w:top w:val="single" w:color="auto" w:sz="8" w:space="0"/>
              <w:bottom w:val="single" w:color="auto" w:sz="8" w:space="0"/>
            </w:tcBorders>
          </w:tcPr>
          <w:p w14:paraId="1F1E1BDE">
            <w:pPr>
              <w:pStyle w:val="178"/>
            </w:pPr>
            <w:r>
              <w:rPr>
                <w:rFonts w:hint="eastAsia"/>
              </w:rPr>
              <w:t>项目</w:t>
            </w:r>
          </w:p>
        </w:tc>
        <w:tc>
          <w:tcPr>
            <w:tcW w:w="3680" w:type="dxa"/>
            <w:tcBorders>
              <w:top w:val="single" w:color="auto" w:sz="8" w:space="0"/>
              <w:bottom w:val="single" w:color="auto" w:sz="8" w:space="0"/>
            </w:tcBorders>
          </w:tcPr>
          <w:p w14:paraId="4499443C">
            <w:pPr>
              <w:pStyle w:val="178"/>
            </w:pPr>
            <w:r>
              <w:rPr>
                <w:rFonts w:hint="eastAsia"/>
              </w:rPr>
              <w:t>指标</w:t>
            </w:r>
          </w:p>
        </w:tc>
        <w:tc>
          <w:tcPr>
            <w:tcW w:w="3112" w:type="dxa"/>
            <w:tcBorders>
              <w:top w:val="single" w:color="auto" w:sz="8" w:space="0"/>
              <w:bottom w:val="single" w:color="auto" w:sz="8" w:space="0"/>
            </w:tcBorders>
          </w:tcPr>
          <w:p w14:paraId="0EE6A5D3">
            <w:pPr>
              <w:pStyle w:val="178"/>
            </w:pPr>
            <w:r>
              <w:rPr>
                <w:rFonts w:hint="eastAsia"/>
              </w:rPr>
              <w:t>检验方法</w:t>
            </w:r>
          </w:p>
        </w:tc>
      </w:tr>
      <w:tr w14:paraId="6C29D3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42" w:type="dxa"/>
            <w:tcBorders>
              <w:top w:val="single" w:color="auto" w:sz="8" w:space="0"/>
            </w:tcBorders>
          </w:tcPr>
          <w:p w14:paraId="386F7422">
            <w:pPr>
              <w:pStyle w:val="178"/>
            </w:pPr>
            <w:r>
              <w:rPr>
                <w:rFonts w:hint="eastAsia"/>
              </w:rPr>
              <w:t>色泽</w:t>
            </w:r>
          </w:p>
        </w:tc>
        <w:tc>
          <w:tcPr>
            <w:tcW w:w="3680" w:type="dxa"/>
            <w:tcBorders>
              <w:top w:val="single" w:color="auto" w:sz="8" w:space="0"/>
            </w:tcBorders>
          </w:tcPr>
          <w:p w14:paraId="15A54A43">
            <w:pPr>
              <w:pStyle w:val="178"/>
            </w:pPr>
            <w:r>
              <w:rPr>
                <w:rFonts w:hint="eastAsia"/>
              </w:rPr>
              <w:t>鲜黄明亮，无明显感官色差，无霉变</w:t>
            </w:r>
          </w:p>
        </w:tc>
        <w:tc>
          <w:tcPr>
            <w:tcW w:w="3112" w:type="dxa"/>
            <w:vMerge w:val="restart"/>
            <w:tcBorders>
              <w:top w:val="single" w:color="auto" w:sz="8" w:space="0"/>
            </w:tcBorders>
            <w:vAlign w:val="center"/>
          </w:tcPr>
          <w:p w14:paraId="03C61C29">
            <w:pPr>
              <w:pStyle w:val="178"/>
            </w:pPr>
            <w:r>
              <w:t>GB/T 5492</w:t>
            </w:r>
          </w:p>
        </w:tc>
      </w:tr>
      <w:tr w14:paraId="1B1B35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42" w:type="dxa"/>
          </w:tcPr>
          <w:p w14:paraId="1D500C42">
            <w:pPr>
              <w:pStyle w:val="178"/>
            </w:pPr>
            <w:r>
              <w:rPr>
                <w:rFonts w:hint="eastAsia"/>
              </w:rPr>
              <w:t>气味</w:t>
            </w:r>
          </w:p>
        </w:tc>
        <w:tc>
          <w:tcPr>
            <w:tcW w:w="3680" w:type="dxa"/>
          </w:tcPr>
          <w:p w14:paraId="14AD7F89">
            <w:pPr>
              <w:pStyle w:val="178"/>
            </w:pPr>
            <w:r>
              <w:rPr>
                <w:rFonts w:hint="eastAsia"/>
              </w:rPr>
              <w:t>具有本区域小米固有的自然清香，无其他异味</w:t>
            </w:r>
          </w:p>
        </w:tc>
        <w:tc>
          <w:tcPr>
            <w:tcW w:w="3112" w:type="dxa"/>
            <w:vMerge w:val="continue"/>
            <w:vAlign w:val="center"/>
          </w:tcPr>
          <w:p w14:paraId="406EEA64">
            <w:pPr>
              <w:pStyle w:val="178"/>
            </w:pPr>
          </w:p>
        </w:tc>
      </w:tr>
      <w:tr w14:paraId="7D17D7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42" w:type="dxa"/>
          </w:tcPr>
          <w:p w14:paraId="4D5AA430">
            <w:pPr>
              <w:pStyle w:val="178"/>
            </w:pPr>
            <w:r>
              <w:rPr>
                <w:rFonts w:hint="eastAsia"/>
              </w:rPr>
              <w:t>口感</w:t>
            </w:r>
          </w:p>
        </w:tc>
        <w:tc>
          <w:tcPr>
            <w:tcW w:w="3680" w:type="dxa"/>
          </w:tcPr>
          <w:p w14:paraId="1DCE9D64">
            <w:pPr>
              <w:pStyle w:val="178"/>
            </w:pPr>
            <w:r>
              <w:rPr>
                <w:rFonts w:hint="eastAsia"/>
              </w:rPr>
              <w:t>绵软滑爽</w:t>
            </w:r>
          </w:p>
        </w:tc>
        <w:tc>
          <w:tcPr>
            <w:tcW w:w="3112" w:type="dxa"/>
            <w:vMerge w:val="continue"/>
            <w:vAlign w:val="center"/>
          </w:tcPr>
          <w:p w14:paraId="5C7193E2">
            <w:pPr>
              <w:pStyle w:val="178"/>
            </w:pPr>
          </w:p>
        </w:tc>
      </w:tr>
      <w:tr w14:paraId="648C3EE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42" w:type="dxa"/>
          </w:tcPr>
          <w:p w14:paraId="16AA54F4">
            <w:pPr>
              <w:pStyle w:val="178"/>
            </w:pPr>
            <w:r>
              <w:rPr>
                <w:rFonts w:hint="eastAsia"/>
              </w:rPr>
              <w:t>透明度</w:t>
            </w:r>
          </w:p>
        </w:tc>
        <w:tc>
          <w:tcPr>
            <w:tcW w:w="3680" w:type="dxa"/>
          </w:tcPr>
          <w:p w14:paraId="08A3B8ED">
            <w:pPr>
              <w:pStyle w:val="178"/>
            </w:pPr>
            <w:r>
              <w:rPr>
                <w:rFonts w:hint="eastAsia"/>
              </w:rPr>
              <w:t>半透明，有米腻</w:t>
            </w:r>
          </w:p>
        </w:tc>
        <w:tc>
          <w:tcPr>
            <w:tcW w:w="3112" w:type="dxa"/>
            <w:vMerge w:val="restart"/>
            <w:vAlign w:val="center"/>
          </w:tcPr>
          <w:p w14:paraId="202B7FEE">
            <w:pPr>
              <w:pStyle w:val="178"/>
            </w:pPr>
            <w:r>
              <w:rPr>
                <w:rFonts w:hint="eastAsia"/>
              </w:rPr>
              <w:t>目测</w:t>
            </w:r>
          </w:p>
        </w:tc>
      </w:tr>
      <w:tr w14:paraId="6119B6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42" w:type="dxa"/>
          </w:tcPr>
          <w:p w14:paraId="2D181A1A">
            <w:pPr>
              <w:pStyle w:val="178"/>
            </w:pPr>
            <w:r>
              <w:rPr>
                <w:rFonts w:hint="eastAsia"/>
              </w:rPr>
              <w:t>粒形</w:t>
            </w:r>
          </w:p>
        </w:tc>
        <w:tc>
          <w:tcPr>
            <w:tcW w:w="3680" w:type="dxa"/>
          </w:tcPr>
          <w:p w14:paraId="12A95ADE">
            <w:pPr>
              <w:pStyle w:val="178"/>
            </w:pPr>
            <w:r>
              <w:rPr>
                <w:rFonts w:hint="eastAsia"/>
              </w:rPr>
              <w:t>颗粒均匀饱满</w:t>
            </w:r>
          </w:p>
        </w:tc>
        <w:tc>
          <w:tcPr>
            <w:tcW w:w="3112" w:type="dxa"/>
            <w:vMerge w:val="continue"/>
            <w:vAlign w:val="center"/>
          </w:tcPr>
          <w:p w14:paraId="297D4059">
            <w:pPr>
              <w:pStyle w:val="178"/>
            </w:pPr>
          </w:p>
        </w:tc>
      </w:tr>
      <w:tr w14:paraId="1A497F7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42" w:type="dxa"/>
          </w:tcPr>
          <w:p w14:paraId="7EF78A76">
            <w:pPr>
              <w:pStyle w:val="178"/>
            </w:pPr>
            <w:bookmarkStart w:id="136" w:name="_Toc169012269"/>
            <w:r>
              <w:rPr>
                <w:rFonts w:hint="eastAsia"/>
              </w:rPr>
              <w:t>霉变粒/%                 ≤</w:t>
            </w:r>
          </w:p>
        </w:tc>
        <w:tc>
          <w:tcPr>
            <w:tcW w:w="3680" w:type="dxa"/>
          </w:tcPr>
          <w:p w14:paraId="659ED946">
            <w:pPr>
              <w:pStyle w:val="178"/>
            </w:pPr>
            <w:r>
              <w:rPr>
                <w:rFonts w:hint="eastAsia"/>
              </w:rPr>
              <w:t>2.0</w:t>
            </w:r>
          </w:p>
        </w:tc>
        <w:tc>
          <w:tcPr>
            <w:tcW w:w="3112" w:type="dxa"/>
            <w:vAlign w:val="center"/>
          </w:tcPr>
          <w:p w14:paraId="502EF2C1">
            <w:pPr>
              <w:pStyle w:val="178"/>
            </w:pPr>
            <w:r>
              <w:rPr>
                <w:rFonts w:hint="eastAsia"/>
              </w:rPr>
              <w:t>GB 2715</w:t>
            </w:r>
          </w:p>
        </w:tc>
      </w:tr>
    </w:tbl>
    <w:p w14:paraId="2E2905E9">
      <w:pPr>
        <w:pStyle w:val="105"/>
        <w:spacing w:before="120" w:after="120"/>
      </w:pPr>
      <w:bookmarkStart w:id="137" w:name="_Toc228276507"/>
      <w:bookmarkStart w:id="138" w:name="OLE_LINK54"/>
      <w:r>
        <w:rPr>
          <w:rFonts w:hint="eastAsia"/>
        </w:rPr>
        <w:t>加工质量指标</w:t>
      </w:r>
      <w:bookmarkEnd w:id="136"/>
      <w:bookmarkEnd w:id="137"/>
      <w:bookmarkEnd w:id="138"/>
    </w:p>
    <w:p w14:paraId="1B73A332">
      <w:pPr>
        <w:pStyle w:val="56"/>
        <w:ind w:firstLine="420"/>
      </w:pPr>
      <w:r>
        <w:rPr>
          <w:rFonts w:hint="eastAsia"/>
        </w:rPr>
        <w:t>加工质量指标见表 2 。</w:t>
      </w:r>
    </w:p>
    <w:p w14:paraId="009E3B0C">
      <w:pPr>
        <w:pStyle w:val="112"/>
        <w:spacing w:before="120" w:after="120"/>
      </w:pPr>
      <w:r>
        <w:rPr>
          <w:rFonts w:hint="eastAsia"/>
        </w:rPr>
        <w:t>加工质量指标</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866"/>
        <w:gridCol w:w="1385"/>
        <w:gridCol w:w="1984"/>
        <w:gridCol w:w="2232"/>
        <w:gridCol w:w="1867"/>
      </w:tblGrid>
      <w:tr w14:paraId="6F54E0A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5235" w:type="dxa"/>
            <w:gridSpan w:val="3"/>
            <w:tcBorders>
              <w:top w:val="single" w:color="auto" w:sz="8" w:space="0"/>
              <w:bottom w:val="single" w:color="auto" w:sz="8" w:space="0"/>
            </w:tcBorders>
          </w:tcPr>
          <w:p w14:paraId="73FB73B1">
            <w:pPr>
              <w:pStyle w:val="178"/>
            </w:pPr>
            <w:r>
              <w:rPr>
                <w:rFonts w:hint="eastAsia"/>
              </w:rPr>
              <w:t>项目</w:t>
            </w:r>
          </w:p>
        </w:tc>
        <w:tc>
          <w:tcPr>
            <w:tcW w:w="2232" w:type="dxa"/>
            <w:tcBorders>
              <w:top w:val="single" w:color="auto" w:sz="8" w:space="0"/>
              <w:bottom w:val="single" w:color="auto" w:sz="8" w:space="0"/>
            </w:tcBorders>
          </w:tcPr>
          <w:p w14:paraId="73AE297C">
            <w:pPr>
              <w:pStyle w:val="178"/>
            </w:pPr>
            <w:r>
              <w:rPr>
                <w:rFonts w:hint="eastAsia"/>
              </w:rPr>
              <w:t>指标</w:t>
            </w:r>
          </w:p>
        </w:tc>
        <w:tc>
          <w:tcPr>
            <w:tcW w:w="1867" w:type="dxa"/>
            <w:tcBorders>
              <w:top w:val="single" w:color="auto" w:sz="8" w:space="0"/>
              <w:bottom w:val="single" w:color="auto" w:sz="8" w:space="0"/>
            </w:tcBorders>
          </w:tcPr>
          <w:p w14:paraId="234043FE">
            <w:pPr>
              <w:pStyle w:val="178"/>
            </w:pPr>
            <w:r>
              <w:rPr>
                <w:rFonts w:hint="eastAsia"/>
              </w:rPr>
              <w:t>检验方法</w:t>
            </w:r>
          </w:p>
        </w:tc>
      </w:tr>
      <w:tr w14:paraId="047941F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235" w:type="dxa"/>
            <w:gridSpan w:val="3"/>
            <w:tcBorders>
              <w:top w:val="single" w:color="auto" w:sz="8" w:space="0"/>
            </w:tcBorders>
            <w:vAlign w:val="center"/>
          </w:tcPr>
          <w:p w14:paraId="1DEECB8F">
            <w:pPr>
              <w:pStyle w:val="178"/>
            </w:pPr>
            <w:r>
              <w:rPr>
                <w:rFonts w:hint="eastAsia"/>
              </w:rPr>
              <w:t>加工精度（粒面种皮基本脱掉的颗粒）/%                 ≥</w:t>
            </w:r>
          </w:p>
        </w:tc>
        <w:tc>
          <w:tcPr>
            <w:tcW w:w="2232" w:type="dxa"/>
            <w:tcBorders>
              <w:top w:val="single" w:color="auto" w:sz="8" w:space="0"/>
            </w:tcBorders>
          </w:tcPr>
          <w:p w14:paraId="2AF73E87">
            <w:pPr>
              <w:pStyle w:val="178"/>
            </w:pPr>
            <w:r>
              <w:rPr>
                <w:rFonts w:hint="eastAsia"/>
              </w:rPr>
              <w:t>90</w:t>
            </w:r>
          </w:p>
        </w:tc>
        <w:tc>
          <w:tcPr>
            <w:tcW w:w="1867" w:type="dxa"/>
            <w:vMerge w:val="restart"/>
            <w:tcBorders>
              <w:top w:val="single" w:color="auto" w:sz="8" w:space="0"/>
            </w:tcBorders>
            <w:vAlign w:val="center"/>
          </w:tcPr>
          <w:p w14:paraId="0AFF93B1">
            <w:pPr>
              <w:pStyle w:val="178"/>
            </w:pPr>
            <w:r>
              <w:t>GB/T 11766</w:t>
            </w:r>
          </w:p>
        </w:tc>
      </w:tr>
      <w:tr w14:paraId="1300A5E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235" w:type="dxa"/>
            <w:gridSpan w:val="3"/>
            <w:vAlign w:val="center"/>
          </w:tcPr>
          <w:p w14:paraId="5315B19D">
            <w:pPr>
              <w:pStyle w:val="178"/>
            </w:pPr>
            <w:bookmarkStart w:id="139" w:name="OLE_LINK1"/>
            <w:r>
              <w:rPr>
                <w:rFonts w:hint="eastAsia"/>
              </w:rPr>
              <w:t>不完善粒</w:t>
            </w:r>
            <w:bookmarkEnd w:id="139"/>
            <w:r>
              <w:rPr>
                <w:rFonts w:hint="eastAsia"/>
              </w:rPr>
              <w:t>/%                                           ≤</w:t>
            </w:r>
          </w:p>
        </w:tc>
        <w:tc>
          <w:tcPr>
            <w:tcW w:w="2232" w:type="dxa"/>
          </w:tcPr>
          <w:p w14:paraId="3AB24761">
            <w:pPr>
              <w:pStyle w:val="178"/>
            </w:pPr>
            <w:r>
              <w:rPr>
                <w:rFonts w:hint="eastAsia"/>
              </w:rPr>
              <w:t>1.0</w:t>
            </w:r>
          </w:p>
        </w:tc>
        <w:tc>
          <w:tcPr>
            <w:tcW w:w="1867" w:type="dxa"/>
            <w:vMerge w:val="continue"/>
            <w:vAlign w:val="center"/>
          </w:tcPr>
          <w:p w14:paraId="28AAF713">
            <w:pPr>
              <w:pStyle w:val="178"/>
            </w:pPr>
          </w:p>
        </w:tc>
      </w:tr>
      <w:tr w14:paraId="642402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66" w:type="dxa"/>
            <w:vMerge w:val="restart"/>
            <w:vAlign w:val="center"/>
          </w:tcPr>
          <w:p w14:paraId="722AC7E4">
            <w:pPr>
              <w:pStyle w:val="178"/>
            </w:pPr>
            <w:r>
              <w:rPr>
                <w:rFonts w:hint="eastAsia"/>
              </w:rPr>
              <w:t>杂质/%</w:t>
            </w:r>
          </w:p>
        </w:tc>
        <w:tc>
          <w:tcPr>
            <w:tcW w:w="3369" w:type="dxa"/>
            <w:gridSpan w:val="2"/>
            <w:vAlign w:val="center"/>
          </w:tcPr>
          <w:p w14:paraId="0F6AEC15">
            <w:pPr>
              <w:pStyle w:val="178"/>
            </w:pPr>
            <w:r>
              <w:rPr>
                <w:rFonts w:hint="eastAsia"/>
              </w:rPr>
              <w:t>总量                            ≤</w:t>
            </w:r>
          </w:p>
        </w:tc>
        <w:tc>
          <w:tcPr>
            <w:tcW w:w="2232" w:type="dxa"/>
            <w:vAlign w:val="center"/>
          </w:tcPr>
          <w:p w14:paraId="4A9DFBE2">
            <w:pPr>
              <w:pStyle w:val="178"/>
            </w:pPr>
            <w:r>
              <w:rPr>
                <w:rFonts w:hint="eastAsia"/>
              </w:rPr>
              <w:t>0.5</w:t>
            </w:r>
          </w:p>
        </w:tc>
        <w:tc>
          <w:tcPr>
            <w:tcW w:w="1867" w:type="dxa"/>
            <w:vMerge w:val="continue"/>
            <w:vAlign w:val="center"/>
          </w:tcPr>
          <w:p w14:paraId="7BF24047">
            <w:pPr>
              <w:pStyle w:val="178"/>
            </w:pPr>
          </w:p>
        </w:tc>
      </w:tr>
      <w:tr w14:paraId="0BC6B5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66" w:type="dxa"/>
            <w:vMerge w:val="continue"/>
            <w:vAlign w:val="center"/>
          </w:tcPr>
          <w:p w14:paraId="125774CB">
            <w:pPr>
              <w:pStyle w:val="178"/>
            </w:pPr>
          </w:p>
        </w:tc>
        <w:tc>
          <w:tcPr>
            <w:tcW w:w="1385" w:type="dxa"/>
            <w:vMerge w:val="restart"/>
            <w:vAlign w:val="center"/>
          </w:tcPr>
          <w:p w14:paraId="04437CC1">
            <w:pPr>
              <w:pStyle w:val="178"/>
            </w:pPr>
            <w:r>
              <w:rPr>
                <w:rFonts w:hint="eastAsia"/>
              </w:rPr>
              <w:t>其中</w:t>
            </w:r>
          </w:p>
        </w:tc>
        <w:tc>
          <w:tcPr>
            <w:tcW w:w="1984" w:type="dxa"/>
          </w:tcPr>
          <w:p w14:paraId="6BB00FAE">
            <w:pPr>
              <w:pStyle w:val="178"/>
            </w:pPr>
            <w:r>
              <w:rPr>
                <w:rFonts w:hint="eastAsia"/>
              </w:rPr>
              <w:t>粟粒             ≤</w:t>
            </w:r>
          </w:p>
        </w:tc>
        <w:tc>
          <w:tcPr>
            <w:tcW w:w="2232" w:type="dxa"/>
            <w:vAlign w:val="center"/>
          </w:tcPr>
          <w:p w14:paraId="0F19ED24">
            <w:pPr>
              <w:pStyle w:val="178"/>
            </w:pPr>
            <w:r>
              <w:rPr>
                <w:rFonts w:hint="eastAsia"/>
              </w:rPr>
              <w:t>0.3</w:t>
            </w:r>
          </w:p>
        </w:tc>
        <w:tc>
          <w:tcPr>
            <w:tcW w:w="1867" w:type="dxa"/>
            <w:vMerge w:val="continue"/>
            <w:vAlign w:val="center"/>
          </w:tcPr>
          <w:p w14:paraId="0ABA0BB6">
            <w:pPr>
              <w:pStyle w:val="178"/>
            </w:pPr>
          </w:p>
        </w:tc>
      </w:tr>
      <w:tr w14:paraId="2E77A6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66" w:type="dxa"/>
            <w:vMerge w:val="continue"/>
            <w:vAlign w:val="center"/>
          </w:tcPr>
          <w:p w14:paraId="18314302">
            <w:pPr>
              <w:pStyle w:val="178"/>
            </w:pPr>
          </w:p>
        </w:tc>
        <w:tc>
          <w:tcPr>
            <w:tcW w:w="1385" w:type="dxa"/>
            <w:vMerge w:val="continue"/>
            <w:vAlign w:val="center"/>
          </w:tcPr>
          <w:p w14:paraId="5AFA5B07">
            <w:pPr>
              <w:pStyle w:val="178"/>
            </w:pPr>
          </w:p>
        </w:tc>
        <w:tc>
          <w:tcPr>
            <w:tcW w:w="1984" w:type="dxa"/>
          </w:tcPr>
          <w:p w14:paraId="63F49A15">
            <w:pPr>
              <w:pStyle w:val="178"/>
            </w:pPr>
            <w:r>
              <w:rPr>
                <w:rFonts w:hint="eastAsia"/>
              </w:rPr>
              <w:t>矿物质           ≤</w:t>
            </w:r>
          </w:p>
        </w:tc>
        <w:tc>
          <w:tcPr>
            <w:tcW w:w="2232" w:type="dxa"/>
            <w:vAlign w:val="center"/>
          </w:tcPr>
          <w:p w14:paraId="2FDECE87">
            <w:pPr>
              <w:pStyle w:val="178"/>
            </w:pPr>
            <w:r>
              <w:rPr>
                <w:rFonts w:hint="eastAsia"/>
              </w:rPr>
              <w:t>0.02</w:t>
            </w:r>
          </w:p>
        </w:tc>
        <w:tc>
          <w:tcPr>
            <w:tcW w:w="1867" w:type="dxa"/>
            <w:vMerge w:val="continue"/>
            <w:vAlign w:val="center"/>
          </w:tcPr>
          <w:p w14:paraId="7146F0A6">
            <w:pPr>
              <w:pStyle w:val="178"/>
            </w:pPr>
          </w:p>
        </w:tc>
      </w:tr>
      <w:tr w14:paraId="624F87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235" w:type="dxa"/>
            <w:gridSpan w:val="3"/>
          </w:tcPr>
          <w:p w14:paraId="4BD9A307">
            <w:pPr>
              <w:pStyle w:val="178"/>
            </w:pPr>
            <w:bookmarkStart w:id="140" w:name="OLE_LINK35"/>
            <w:r>
              <w:rPr>
                <w:rFonts w:hint="eastAsia"/>
              </w:rPr>
              <w:t>碎米</w:t>
            </w:r>
            <w:bookmarkEnd w:id="140"/>
            <w:r>
              <w:rPr>
                <w:rFonts w:hint="eastAsia"/>
              </w:rPr>
              <w:t>/%                                               ≤</w:t>
            </w:r>
          </w:p>
        </w:tc>
        <w:tc>
          <w:tcPr>
            <w:tcW w:w="2232" w:type="dxa"/>
          </w:tcPr>
          <w:p w14:paraId="2349E7F2">
            <w:pPr>
              <w:pStyle w:val="178"/>
            </w:pPr>
            <w:r>
              <w:t>4.0</w:t>
            </w:r>
          </w:p>
        </w:tc>
        <w:tc>
          <w:tcPr>
            <w:tcW w:w="1867" w:type="dxa"/>
            <w:vMerge w:val="continue"/>
            <w:vAlign w:val="center"/>
          </w:tcPr>
          <w:p w14:paraId="081024CE">
            <w:pPr>
              <w:pStyle w:val="178"/>
            </w:pPr>
          </w:p>
        </w:tc>
      </w:tr>
      <w:tr w14:paraId="71D6D880">
        <w:tblPrEx>
          <w:tblCellMar>
            <w:top w:w="0" w:type="dxa"/>
            <w:left w:w="0" w:type="dxa"/>
            <w:bottom w:w="0" w:type="dxa"/>
            <w:right w:w="0" w:type="dxa"/>
          </w:tblCellMar>
        </w:tblPrEx>
        <w:trPr>
          <w:jc w:val="center"/>
        </w:trPr>
        <w:tc>
          <w:tcPr>
            <w:tcW w:w="5235" w:type="dxa"/>
            <w:gridSpan w:val="3"/>
          </w:tcPr>
          <w:p w14:paraId="5607E1C7">
            <w:pPr>
              <w:pStyle w:val="178"/>
            </w:pPr>
            <w:r>
              <w:rPr>
                <w:rFonts w:hint="eastAsia"/>
              </w:rPr>
              <w:t>水分/%                                               ≤</w:t>
            </w:r>
          </w:p>
        </w:tc>
        <w:tc>
          <w:tcPr>
            <w:tcW w:w="2232" w:type="dxa"/>
          </w:tcPr>
          <w:p w14:paraId="2ACDCA40">
            <w:pPr>
              <w:pStyle w:val="178"/>
            </w:pPr>
            <w:r>
              <w:t>13.0</w:t>
            </w:r>
          </w:p>
        </w:tc>
        <w:tc>
          <w:tcPr>
            <w:tcW w:w="1867" w:type="dxa"/>
            <w:vMerge w:val="continue"/>
            <w:vAlign w:val="center"/>
          </w:tcPr>
          <w:p w14:paraId="40721514">
            <w:pPr>
              <w:pStyle w:val="178"/>
            </w:pPr>
          </w:p>
        </w:tc>
      </w:tr>
    </w:tbl>
    <w:p w14:paraId="22FF652C">
      <w:pPr>
        <w:pStyle w:val="105"/>
        <w:spacing w:before="120" w:after="120"/>
      </w:pPr>
      <w:bookmarkStart w:id="141" w:name="_Toc228276508"/>
      <w:bookmarkStart w:id="142" w:name="OLE_LINK36"/>
      <w:bookmarkStart w:id="143" w:name="_Toc169012270"/>
      <w:r>
        <w:rPr>
          <w:rFonts w:hint="eastAsia"/>
        </w:rPr>
        <w:t>蒸煮和营养品质指标</w:t>
      </w:r>
      <w:bookmarkEnd w:id="141"/>
      <w:bookmarkEnd w:id="142"/>
      <w:bookmarkEnd w:id="143"/>
    </w:p>
    <w:p w14:paraId="26C731AF">
      <w:pPr>
        <w:pStyle w:val="56"/>
        <w:ind w:firstLine="420"/>
      </w:pPr>
      <w:r>
        <w:rPr>
          <w:rFonts w:hint="eastAsia"/>
        </w:rPr>
        <w:t>蒸煮和营养品质指标见表 3 。</w:t>
      </w:r>
    </w:p>
    <w:p w14:paraId="2A2367E2">
      <w:pPr>
        <w:pStyle w:val="112"/>
        <w:spacing w:before="120" w:after="120"/>
      </w:pPr>
      <w:r>
        <w:rPr>
          <w:rFonts w:hint="eastAsia"/>
        </w:rPr>
        <w:t>蒸煮和营养品质指标</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10"/>
        <w:gridCol w:w="3112"/>
        <w:gridCol w:w="3112"/>
      </w:tblGrid>
      <w:tr w14:paraId="0E658C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3110" w:type="dxa"/>
            <w:tcBorders>
              <w:top w:val="single" w:color="auto" w:sz="8" w:space="0"/>
              <w:bottom w:val="single" w:color="auto" w:sz="8" w:space="0"/>
            </w:tcBorders>
          </w:tcPr>
          <w:p w14:paraId="1ADA1610">
            <w:pPr>
              <w:pStyle w:val="178"/>
            </w:pPr>
            <w:r>
              <w:rPr>
                <w:rFonts w:hint="eastAsia"/>
              </w:rPr>
              <w:t>项目</w:t>
            </w:r>
          </w:p>
        </w:tc>
        <w:tc>
          <w:tcPr>
            <w:tcW w:w="3112" w:type="dxa"/>
            <w:tcBorders>
              <w:top w:val="single" w:color="auto" w:sz="8" w:space="0"/>
              <w:bottom w:val="single" w:color="auto" w:sz="8" w:space="0"/>
            </w:tcBorders>
          </w:tcPr>
          <w:p w14:paraId="57161BB6">
            <w:pPr>
              <w:pStyle w:val="178"/>
            </w:pPr>
            <w:r>
              <w:rPr>
                <w:rFonts w:hint="eastAsia"/>
              </w:rPr>
              <w:t>指标</w:t>
            </w:r>
          </w:p>
        </w:tc>
        <w:tc>
          <w:tcPr>
            <w:tcW w:w="3112" w:type="dxa"/>
            <w:tcBorders>
              <w:top w:val="single" w:color="auto" w:sz="8" w:space="0"/>
              <w:bottom w:val="single" w:color="auto" w:sz="8" w:space="0"/>
            </w:tcBorders>
          </w:tcPr>
          <w:p w14:paraId="1309D96E">
            <w:pPr>
              <w:pStyle w:val="178"/>
            </w:pPr>
            <w:r>
              <w:rPr>
                <w:rFonts w:hint="eastAsia"/>
              </w:rPr>
              <w:t>检验方法</w:t>
            </w:r>
          </w:p>
        </w:tc>
      </w:tr>
      <w:tr w14:paraId="5481126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Borders>
              <w:top w:val="single" w:color="auto" w:sz="8" w:space="0"/>
            </w:tcBorders>
          </w:tcPr>
          <w:p w14:paraId="7ECBC8CC">
            <w:pPr>
              <w:pStyle w:val="178"/>
              <w:jc w:val="left"/>
            </w:pPr>
            <w:bookmarkStart w:id="144" w:name="OLE_LINK39"/>
            <w:r>
              <w:rPr>
                <w:rFonts w:hint="eastAsia"/>
              </w:rPr>
              <w:t>直链淀粉</w:t>
            </w:r>
            <w:bookmarkEnd w:id="144"/>
            <w:r>
              <w:rPr>
                <w:rFonts w:hint="eastAsia"/>
              </w:rPr>
              <w:t>/%</w:t>
            </w:r>
          </w:p>
        </w:tc>
        <w:tc>
          <w:tcPr>
            <w:tcW w:w="3112" w:type="dxa"/>
            <w:tcBorders>
              <w:top w:val="single" w:color="auto" w:sz="8" w:space="0"/>
            </w:tcBorders>
          </w:tcPr>
          <w:p w14:paraId="27306A9C">
            <w:pPr>
              <w:pStyle w:val="178"/>
            </w:pPr>
            <w:bookmarkStart w:id="145" w:name="OLE_LINK40"/>
            <w:r>
              <w:rPr>
                <w:rFonts w:hint="eastAsia"/>
                <w:lang w:val="en-US" w:eastAsia="zh-CN"/>
              </w:rPr>
              <w:t>14</w:t>
            </w:r>
            <w:r>
              <w:rPr>
                <w:rFonts w:hint="eastAsia"/>
              </w:rPr>
              <w:t>.0～2</w:t>
            </w:r>
            <w:bookmarkEnd w:id="145"/>
            <w:r>
              <w:rPr>
                <w:rFonts w:hint="eastAsia"/>
                <w:lang w:val="en-US" w:eastAsia="zh-CN"/>
              </w:rPr>
              <w:t>2</w:t>
            </w:r>
            <w:r>
              <w:rPr>
                <w:rFonts w:hint="eastAsia"/>
              </w:rPr>
              <w:t>.0</w:t>
            </w:r>
          </w:p>
        </w:tc>
        <w:tc>
          <w:tcPr>
            <w:tcW w:w="3112" w:type="dxa"/>
            <w:tcBorders>
              <w:top w:val="single" w:color="auto" w:sz="8" w:space="0"/>
            </w:tcBorders>
            <w:vAlign w:val="center"/>
          </w:tcPr>
          <w:p w14:paraId="01F42A5E">
            <w:pPr>
              <w:pStyle w:val="178"/>
            </w:pPr>
            <w:r>
              <w:t>GB 7648</w:t>
            </w:r>
          </w:p>
        </w:tc>
      </w:tr>
      <w:tr w14:paraId="111C00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Pr>
          <w:p w14:paraId="157A3168">
            <w:pPr>
              <w:pStyle w:val="178"/>
            </w:pPr>
            <w:r>
              <w:rPr>
                <w:rFonts w:hint="eastAsia"/>
              </w:rPr>
              <w:t>胶稠度/mm                       ≥</w:t>
            </w:r>
          </w:p>
        </w:tc>
        <w:tc>
          <w:tcPr>
            <w:tcW w:w="3112" w:type="dxa"/>
          </w:tcPr>
          <w:p w14:paraId="5FBDB5E0">
            <w:pPr>
              <w:pStyle w:val="178"/>
              <w:rPr>
                <w:rFonts w:hint="default" w:eastAsia="宋体"/>
                <w:lang w:val="en-US" w:eastAsia="zh-CN"/>
              </w:rPr>
            </w:pPr>
            <w:r>
              <w:t>1</w:t>
            </w:r>
            <w:r>
              <w:rPr>
                <w:rFonts w:hint="eastAsia"/>
              </w:rPr>
              <w:t>10</w:t>
            </w:r>
            <w:r>
              <w:rPr>
                <w:rFonts w:hint="eastAsia"/>
                <w:lang w:val="en-US" w:eastAsia="zh-CN"/>
              </w:rPr>
              <w:t>.0</w:t>
            </w:r>
          </w:p>
        </w:tc>
        <w:tc>
          <w:tcPr>
            <w:tcW w:w="3112" w:type="dxa"/>
            <w:vAlign w:val="center"/>
          </w:tcPr>
          <w:p w14:paraId="7BEB59B6">
            <w:pPr>
              <w:pStyle w:val="178"/>
            </w:pPr>
            <w:r>
              <w:t>NY/T 83</w:t>
            </w:r>
          </w:p>
        </w:tc>
      </w:tr>
      <w:tr w14:paraId="051648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Pr>
          <w:p w14:paraId="422F2BC1">
            <w:pPr>
              <w:pStyle w:val="178"/>
              <w:jc w:val="left"/>
            </w:pPr>
            <w:bookmarkStart w:id="146" w:name="OLE_LINK5"/>
            <w:r>
              <w:rPr>
                <w:rFonts w:hint="eastAsia"/>
              </w:rPr>
              <w:t>糊化温度（碱消值）</w:t>
            </w:r>
            <w:bookmarkEnd w:id="146"/>
          </w:p>
        </w:tc>
        <w:tc>
          <w:tcPr>
            <w:tcW w:w="3112" w:type="dxa"/>
          </w:tcPr>
          <w:p w14:paraId="2C08C3C1">
            <w:pPr>
              <w:pStyle w:val="178"/>
            </w:pPr>
            <w:bookmarkStart w:id="147" w:name="OLE_LINK41"/>
            <w:r>
              <w:rPr>
                <w:rFonts w:hint="eastAsia"/>
              </w:rPr>
              <w:t>1.</w:t>
            </w:r>
            <w:r>
              <w:rPr>
                <w:rFonts w:hint="eastAsia"/>
                <w:lang w:val="en-US" w:eastAsia="zh-CN"/>
              </w:rPr>
              <w:t>5</w:t>
            </w:r>
            <w:r>
              <w:rPr>
                <w:rFonts w:hint="eastAsia"/>
              </w:rPr>
              <w:t>～3.5</w:t>
            </w:r>
            <w:bookmarkEnd w:id="147"/>
          </w:p>
        </w:tc>
        <w:tc>
          <w:tcPr>
            <w:tcW w:w="3112" w:type="dxa"/>
            <w:vAlign w:val="center"/>
          </w:tcPr>
          <w:p w14:paraId="12C8A5C0">
            <w:pPr>
              <w:pStyle w:val="178"/>
            </w:pPr>
            <w:r>
              <w:rPr>
                <w:rFonts w:hint="eastAsia"/>
              </w:rPr>
              <w:t>NY/T 83</w:t>
            </w:r>
          </w:p>
        </w:tc>
      </w:tr>
      <w:tr w14:paraId="59F11D3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Pr>
          <w:p w14:paraId="02D1D5F5">
            <w:pPr>
              <w:pStyle w:val="178"/>
            </w:pPr>
            <w:bookmarkStart w:id="148" w:name="OLE_LINK42"/>
            <w:r>
              <w:rPr>
                <w:rFonts w:hint="eastAsia"/>
              </w:rPr>
              <w:t>蛋白质</w:t>
            </w:r>
            <w:bookmarkEnd w:id="148"/>
            <w:r>
              <w:rPr>
                <w:rFonts w:hint="eastAsia"/>
              </w:rPr>
              <w:t>/%                        ≥</w:t>
            </w:r>
          </w:p>
        </w:tc>
        <w:tc>
          <w:tcPr>
            <w:tcW w:w="3112" w:type="dxa"/>
          </w:tcPr>
          <w:p w14:paraId="4CB37824">
            <w:pPr>
              <w:pStyle w:val="178"/>
              <w:rPr>
                <w:highlight w:val="yellow"/>
              </w:rPr>
            </w:pPr>
            <w:r>
              <w:rPr>
                <w:rFonts w:hint="eastAsia"/>
                <w:lang w:val="en-US" w:eastAsia="zh-CN"/>
              </w:rPr>
              <w:t>9</w:t>
            </w:r>
            <w:r>
              <w:t>.</w:t>
            </w:r>
            <w:r>
              <w:rPr>
                <w:rFonts w:hint="eastAsia"/>
              </w:rPr>
              <w:t>0</w:t>
            </w:r>
          </w:p>
        </w:tc>
        <w:tc>
          <w:tcPr>
            <w:tcW w:w="3112" w:type="dxa"/>
          </w:tcPr>
          <w:p w14:paraId="26399506">
            <w:pPr>
              <w:pStyle w:val="178"/>
            </w:pPr>
            <w:r>
              <w:t>GB 5009.5</w:t>
            </w:r>
          </w:p>
        </w:tc>
      </w:tr>
      <w:tr w14:paraId="5B0351E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Pr>
          <w:p w14:paraId="2CB31DBA">
            <w:pPr>
              <w:pStyle w:val="178"/>
            </w:pPr>
            <w:r>
              <w:rPr>
                <w:rFonts w:hint="eastAsia"/>
              </w:rPr>
              <w:t>粗脂肪/%                        ≥</w:t>
            </w:r>
          </w:p>
        </w:tc>
        <w:tc>
          <w:tcPr>
            <w:tcW w:w="3112" w:type="dxa"/>
          </w:tcPr>
          <w:p w14:paraId="7A119A0E">
            <w:pPr>
              <w:pStyle w:val="178"/>
              <w:rPr>
                <w:highlight w:val="yellow"/>
              </w:rPr>
            </w:pPr>
            <w:r>
              <w:rPr>
                <w:rFonts w:hint="eastAsia"/>
              </w:rPr>
              <w:t>2.5</w:t>
            </w:r>
          </w:p>
        </w:tc>
        <w:tc>
          <w:tcPr>
            <w:tcW w:w="3112" w:type="dxa"/>
          </w:tcPr>
          <w:p w14:paraId="07C674F4">
            <w:pPr>
              <w:pStyle w:val="178"/>
            </w:pPr>
            <w:r>
              <w:t>GB 5009.6</w:t>
            </w:r>
          </w:p>
        </w:tc>
      </w:tr>
      <w:tr w14:paraId="01E969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Pr>
          <w:p w14:paraId="2A0B44F9">
            <w:pPr>
              <w:pStyle w:val="178"/>
            </w:pPr>
            <w:bookmarkStart w:id="149" w:name="OLE_LINK44"/>
            <w:r>
              <w:rPr>
                <w:rFonts w:hint="eastAsia"/>
              </w:rPr>
              <w:t>总氨基酸</w:t>
            </w:r>
            <w:bookmarkEnd w:id="149"/>
            <w:r>
              <w:rPr>
                <w:rFonts w:hint="eastAsia"/>
              </w:rPr>
              <w:t>/</w:t>
            </w:r>
            <w:bookmarkStart w:id="150" w:name="OLE_LINK46"/>
            <w:r>
              <w:rPr>
                <w:rFonts w:hint="eastAsia"/>
              </w:rPr>
              <w:t>（g/100g</w:t>
            </w:r>
            <w:bookmarkEnd w:id="150"/>
            <w:r>
              <w:rPr>
                <w:rFonts w:hint="eastAsia"/>
              </w:rPr>
              <w:t>）               ≥</w:t>
            </w:r>
          </w:p>
        </w:tc>
        <w:tc>
          <w:tcPr>
            <w:tcW w:w="3112" w:type="dxa"/>
          </w:tcPr>
          <w:p w14:paraId="5A9AEC85">
            <w:pPr>
              <w:pStyle w:val="178"/>
            </w:pPr>
            <w:r>
              <w:rPr>
                <w:rFonts w:hint="eastAsia"/>
              </w:rPr>
              <w:t>8</w:t>
            </w:r>
            <w:r>
              <w:t>.0</w:t>
            </w:r>
          </w:p>
        </w:tc>
        <w:tc>
          <w:tcPr>
            <w:tcW w:w="3112" w:type="dxa"/>
          </w:tcPr>
          <w:p w14:paraId="34B32D66">
            <w:pPr>
              <w:pStyle w:val="178"/>
            </w:pPr>
            <w:r>
              <w:t>GB 5009.124</w:t>
            </w:r>
          </w:p>
        </w:tc>
      </w:tr>
      <w:tr w14:paraId="1BE11FC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Pr>
          <w:p w14:paraId="287549EF">
            <w:pPr>
              <w:pStyle w:val="178"/>
            </w:pPr>
            <w:bookmarkStart w:id="151" w:name="OLE_LINK45"/>
            <w:r>
              <w:rPr>
                <w:rFonts w:hint="eastAsia"/>
              </w:rPr>
              <w:t>钙</w:t>
            </w:r>
            <w:bookmarkEnd w:id="151"/>
            <w:r>
              <w:rPr>
                <w:rFonts w:hint="eastAsia"/>
              </w:rPr>
              <w:t>/（</w:t>
            </w:r>
            <w:bookmarkStart w:id="152" w:name="OLE_LINK48"/>
            <w:r>
              <w:rPr>
                <w:rFonts w:hint="eastAsia"/>
              </w:rPr>
              <w:t>mg/kg</w:t>
            </w:r>
            <w:bookmarkEnd w:id="152"/>
            <w:r>
              <w:rPr>
                <w:rFonts w:hint="eastAsia"/>
              </w:rPr>
              <w:t>）                    ≥</w:t>
            </w:r>
          </w:p>
        </w:tc>
        <w:tc>
          <w:tcPr>
            <w:tcW w:w="3112" w:type="dxa"/>
          </w:tcPr>
          <w:p w14:paraId="5B351128">
            <w:pPr>
              <w:pStyle w:val="178"/>
            </w:pPr>
            <w:bookmarkStart w:id="153" w:name="OLE_LINK47"/>
            <w:r>
              <w:t>1</w:t>
            </w:r>
            <w:r>
              <w:rPr>
                <w:rFonts w:hint="eastAsia"/>
              </w:rPr>
              <w:t>20</w:t>
            </w:r>
            <w:bookmarkEnd w:id="153"/>
            <w:r>
              <w:rPr>
                <w:rFonts w:hint="eastAsia"/>
              </w:rPr>
              <w:t>.0</w:t>
            </w:r>
          </w:p>
        </w:tc>
        <w:tc>
          <w:tcPr>
            <w:tcW w:w="3112" w:type="dxa"/>
          </w:tcPr>
          <w:p w14:paraId="0ED454FD">
            <w:pPr>
              <w:pStyle w:val="178"/>
            </w:pPr>
            <w:r>
              <w:t>GB 5009.92</w:t>
            </w:r>
          </w:p>
        </w:tc>
      </w:tr>
      <w:tr w14:paraId="164CA5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Pr>
          <w:p w14:paraId="3AFD72A6">
            <w:pPr>
              <w:pStyle w:val="178"/>
            </w:pPr>
            <w:r>
              <w:rPr>
                <w:rFonts w:hint="eastAsia"/>
              </w:rPr>
              <w:t xml:space="preserve">锌/（mg/kg）               </w:t>
            </w:r>
            <w:bookmarkStart w:id="154" w:name="OLE_LINK2"/>
            <w:r>
              <w:rPr>
                <w:rFonts w:hint="eastAsia"/>
              </w:rPr>
              <w:t xml:space="preserve">     ≥</w:t>
            </w:r>
            <w:bookmarkEnd w:id="154"/>
          </w:p>
        </w:tc>
        <w:tc>
          <w:tcPr>
            <w:tcW w:w="3112" w:type="dxa"/>
          </w:tcPr>
          <w:p w14:paraId="1DB009A0">
            <w:pPr>
              <w:pStyle w:val="178"/>
            </w:pPr>
            <w:r>
              <w:t>1</w:t>
            </w:r>
            <w:r>
              <w:rPr>
                <w:rFonts w:hint="eastAsia"/>
              </w:rPr>
              <w:t>6.0</w:t>
            </w:r>
          </w:p>
        </w:tc>
        <w:tc>
          <w:tcPr>
            <w:tcW w:w="3112" w:type="dxa"/>
          </w:tcPr>
          <w:p w14:paraId="7243BF5C">
            <w:pPr>
              <w:pStyle w:val="178"/>
            </w:pPr>
            <w:r>
              <w:t>GB 5009.14</w:t>
            </w:r>
          </w:p>
        </w:tc>
      </w:tr>
      <w:tr w14:paraId="5AF8513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Pr>
          <w:p w14:paraId="215BC638">
            <w:pPr>
              <w:pStyle w:val="178"/>
            </w:pPr>
            <w:r>
              <w:rPr>
                <w:rFonts w:hint="eastAsia"/>
              </w:rPr>
              <w:t>叶酸（μg/100g）                ≥</w:t>
            </w:r>
          </w:p>
        </w:tc>
        <w:tc>
          <w:tcPr>
            <w:tcW w:w="3112" w:type="dxa"/>
          </w:tcPr>
          <w:p w14:paraId="07C95FFB">
            <w:pPr>
              <w:pStyle w:val="178"/>
            </w:pPr>
            <w:bookmarkStart w:id="155" w:name="OLE_LINK49"/>
            <w:r>
              <w:rPr>
                <w:rFonts w:hint="eastAsia"/>
              </w:rPr>
              <w:t>20</w:t>
            </w:r>
            <w:bookmarkEnd w:id="155"/>
            <w:r>
              <w:rPr>
                <w:rFonts w:hint="eastAsia"/>
              </w:rPr>
              <w:t>.0</w:t>
            </w:r>
          </w:p>
        </w:tc>
        <w:tc>
          <w:tcPr>
            <w:tcW w:w="3112" w:type="dxa"/>
          </w:tcPr>
          <w:p w14:paraId="0897A4E2">
            <w:pPr>
              <w:pStyle w:val="178"/>
            </w:pPr>
            <w:r>
              <w:rPr>
                <w:rFonts w:hint="eastAsia"/>
              </w:rPr>
              <w:t>GB 5009.211</w:t>
            </w:r>
          </w:p>
        </w:tc>
      </w:tr>
    </w:tbl>
    <w:p w14:paraId="63D9D695">
      <w:pPr>
        <w:pStyle w:val="105"/>
        <w:spacing w:before="120" w:after="120"/>
      </w:pPr>
      <w:bookmarkStart w:id="156" w:name="_Toc169012271"/>
      <w:bookmarkStart w:id="157" w:name="OLE_LINK55"/>
      <w:bookmarkStart w:id="158" w:name="_Toc228276509"/>
      <w:r>
        <w:rPr>
          <w:rFonts w:hint="eastAsia"/>
        </w:rPr>
        <w:t>安全性指标</w:t>
      </w:r>
      <w:bookmarkEnd w:id="156"/>
      <w:bookmarkEnd w:id="157"/>
      <w:bookmarkEnd w:id="158"/>
    </w:p>
    <w:p w14:paraId="63AE9C88">
      <w:pPr>
        <w:pStyle w:val="56"/>
        <w:ind w:firstLine="420"/>
      </w:pPr>
      <w:r>
        <w:rPr>
          <w:rFonts w:hint="eastAsia"/>
        </w:rPr>
        <w:t>真菌毒素、污染物和农药残留限量指标应符合</w:t>
      </w:r>
      <w:bookmarkStart w:id="159" w:name="OLE_LINK4"/>
      <w:bookmarkStart w:id="160" w:name="OLE_LINK32"/>
      <w:r>
        <w:rPr>
          <w:rFonts w:hint="eastAsia"/>
        </w:rPr>
        <w:t>GB 27</w:t>
      </w:r>
      <w:bookmarkEnd w:id="159"/>
      <w:r>
        <w:rPr>
          <w:rFonts w:hint="eastAsia"/>
        </w:rPr>
        <w:t>61</w:t>
      </w:r>
      <w:bookmarkEnd w:id="160"/>
      <w:r>
        <w:rPr>
          <w:rFonts w:hint="eastAsia"/>
        </w:rPr>
        <w:t>、GB 2762和GB 2763的规定。</w:t>
      </w:r>
    </w:p>
    <w:p w14:paraId="755EACA4">
      <w:pPr>
        <w:pStyle w:val="104"/>
        <w:spacing w:before="240" w:after="240"/>
      </w:pPr>
      <w:bookmarkStart w:id="161" w:name="_Toc25568"/>
      <w:bookmarkStart w:id="162" w:name="_Toc228276532"/>
      <w:bookmarkStart w:id="163" w:name="_Toc169012286"/>
      <w:bookmarkStart w:id="164" w:name="_Toc169012272"/>
      <w:bookmarkStart w:id="165" w:name="OLE_LINK56"/>
      <w:bookmarkStart w:id="166" w:name="_Toc228276510"/>
      <w:r>
        <w:rPr>
          <w:rFonts w:hint="eastAsia"/>
        </w:rPr>
        <w:t>检验规则</w:t>
      </w:r>
      <w:bookmarkEnd w:id="161"/>
      <w:bookmarkEnd w:id="162"/>
      <w:bookmarkEnd w:id="163"/>
      <w:bookmarkEnd w:id="164"/>
      <w:bookmarkEnd w:id="165"/>
      <w:bookmarkEnd w:id="166"/>
    </w:p>
    <w:p w14:paraId="0B89E32C">
      <w:pPr>
        <w:pStyle w:val="105"/>
        <w:spacing w:before="120" w:after="120"/>
      </w:pPr>
      <w:bookmarkStart w:id="167" w:name="_Toc169012273"/>
      <w:bookmarkStart w:id="168" w:name="_Toc228276511"/>
      <w:r>
        <w:rPr>
          <w:rFonts w:hint="eastAsia"/>
        </w:rPr>
        <w:t>组批</w:t>
      </w:r>
      <w:bookmarkEnd w:id="167"/>
      <w:r>
        <w:rPr>
          <w:rFonts w:hint="eastAsia"/>
        </w:rPr>
        <w:t>规则</w:t>
      </w:r>
      <w:bookmarkEnd w:id="168"/>
    </w:p>
    <w:p w14:paraId="3D7882E4">
      <w:pPr>
        <w:pStyle w:val="56"/>
        <w:ind w:firstLine="420"/>
      </w:pPr>
      <w:r>
        <w:rPr>
          <w:rFonts w:hint="eastAsia"/>
        </w:rPr>
        <w:t>由相同的加工方法生产的同品种、同产地、同收获年、同运输单元、同储存单元的小米作为一个检验批次。</w:t>
      </w:r>
    </w:p>
    <w:p w14:paraId="158D3140">
      <w:pPr>
        <w:pStyle w:val="105"/>
        <w:spacing w:before="120" w:after="120"/>
      </w:pPr>
      <w:bookmarkStart w:id="169" w:name="_Toc228276512"/>
      <w:bookmarkStart w:id="170" w:name="_Toc169012274"/>
      <w:r>
        <w:rPr>
          <w:rFonts w:hint="eastAsia"/>
        </w:rPr>
        <w:t>抽样</w:t>
      </w:r>
      <w:bookmarkEnd w:id="169"/>
      <w:bookmarkEnd w:id="170"/>
    </w:p>
    <w:p w14:paraId="145904C0">
      <w:pPr>
        <w:pStyle w:val="56"/>
        <w:ind w:firstLine="420"/>
      </w:pPr>
      <w:r>
        <w:rPr>
          <w:rFonts w:hint="eastAsia"/>
        </w:rPr>
        <w:t>采取随机抽样的方式，单位以袋计，抽样量不应少于3 kg。</w:t>
      </w:r>
    </w:p>
    <w:p w14:paraId="3056691C">
      <w:pPr>
        <w:pStyle w:val="105"/>
        <w:spacing w:before="120" w:after="120"/>
      </w:pPr>
      <w:bookmarkStart w:id="171" w:name="_Toc228276513"/>
      <w:bookmarkStart w:id="172" w:name="_Toc169012275"/>
      <w:r>
        <w:rPr>
          <w:rFonts w:hint="eastAsia"/>
        </w:rPr>
        <w:t>检验分类</w:t>
      </w:r>
      <w:bookmarkEnd w:id="171"/>
      <w:bookmarkEnd w:id="172"/>
    </w:p>
    <w:p w14:paraId="7712F586">
      <w:pPr>
        <w:pStyle w:val="65"/>
        <w:spacing w:before="120" w:after="120"/>
      </w:pPr>
      <w:r>
        <w:rPr>
          <w:rFonts w:hint="eastAsia"/>
        </w:rPr>
        <w:t>出厂检验</w:t>
      </w:r>
    </w:p>
    <w:p w14:paraId="5DE48C41">
      <w:pPr>
        <w:pStyle w:val="56"/>
        <w:ind w:firstLine="420"/>
      </w:pPr>
      <w:r>
        <w:rPr>
          <w:rFonts w:hint="eastAsia"/>
        </w:rPr>
        <w:t>应在每批产品交收前，进行出厂检验。出厂检验内容应包括：感官要求、加工质量指标。</w:t>
      </w:r>
    </w:p>
    <w:p w14:paraId="3A9941FD">
      <w:pPr>
        <w:pStyle w:val="65"/>
        <w:spacing w:before="120" w:after="120"/>
      </w:pPr>
      <w:r>
        <w:rPr>
          <w:rFonts w:hint="eastAsia"/>
        </w:rPr>
        <w:t>型式检验</w:t>
      </w:r>
    </w:p>
    <w:p w14:paraId="50DEFC09">
      <w:pPr>
        <w:pStyle w:val="56"/>
        <w:ind w:firstLine="420"/>
      </w:pPr>
      <w:r>
        <w:rPr>
          <w:rFonts w:hint="eastAsia"/>
        </w:rPr>
        <w:t>小米型式检验应每年进行一次，应对第8章中规定的所有项目进行检验，出现下列情形之一时，应随时进行检验：</w:t>
      </w:r>
    </w:p>
    <w:p w14:paraId="4CDD8FF8">
      <w:pPr>
        <w:pStyle w:val="174"/>
        <w:numPr>
          <w:ilvl w:val="0"/>
          <w:numId w:val="32"/>
        </w:numPr>
      </w:pPr>
      <w:bookmarkStart w:id="173" w:name="_Toc169012276"/>
      <w:r>
        <w:rPr>
          <w:rFonts w:hint="eastAsia"/>
        </w:rPr>
        <w:t>交收检验结果与上次型式检验结果差异较大时；</w:t>
      </w:r>
    </w:p>
    <w:p w14:paraId="2D966AC6">
      <w:pPr>
        <w:pStyle w:val="174"/>
        <w:numPr>
          <w:ilvl w:val="0"/>
          <w:numId w:val="32"/>
        </w:numPr>
      </w:pPr>
      <w:r>
        <w:rPr>
          <w:rFonts w:hint="eastAsia"/>
        </w:rPr>
        <w:t>因人为或自然因素使生产环境发生较大变化时；</w:t>
      </w:r>
    </w:p>
    <w:p w14:paraId="77073662">
      <w:pPr>
        <w:pStyle w:val="174"/>
        <w:numPr>
          <w:ilvl w:val="0"/>
          <w:numId w:val="32"/>
        </w:numPr>
      </w:pPr>
      <w:r>
        <w:rPr>
          <w:rFonts w:hint="eastAsia"/>
        </w:rPr>
        <w:t>国家和地方市场监督管理机构或行业主管部门提出型式检验要求时。</w:t>
      </w:r>
    </w:p>
    <w:p w14:paraId="3EF09F07">
      <w:pPr>
        <w:pStyle w:val="105"/>
        <w:spacing w:before="120" w:after="120"/>
      </w:pPr>
      <w:bookmarkStart w:id="174" w:name="_Toc228276514"/>
      <w:r>
        <w:rPr>
          <w:rFonts w:hint="eastAsia"/>
        </w:rPr>
        <w:t>判定规则</w:t>
      </w:r>
      <w:bookmarkEnd w:id="173"/>
      <w:bookmarkEnd w:id="174"/>
    </w:p>
    <w:p w14:paraId="017D0379">
      <w:pPr>
        <w:pStyle w:val="56"/>
        <w:ind w:firstLine="420"/>
      </w:pPr>
      <w:r>
        <w:rPr>
          <w:rFonts w:hint="eastAsia"/>
        </w:rPr>
        <w:t>检验项目结果符合要求时，判定该批为合格产品。</w:t>
      </w:r>
    </w:p>
    <w:p w14:paraId="737239C2">
      <w:pPr>
        <w:pStyle w:val="56"/>
        <w:ind w:firstLine="420"/>
      </w:pPr>
    </w:p>
    <w:p w14:paraId="6B02D919">
      <w:pPr>
        <w:pStyle w:val="56"/>
        <w:ind w:firstLine="420"/>
        <w:sectPr>
          <w:pgSz w:w="11906" w:h="16838"/>
          <w:pgMar w:top="1928" w:right="1134" w:bottom="1134" w:left="1134" w:header="1418" w:footer="1134" w:gutter="284"/>
          <w:pgNumType w:start="1"/>
          <w:cols w:space="425" w:num="1"/>
          <w:formProt w:val="0"/>
          <w:docGrid w:linePitch="312" w:charSpace="0"/>
        </w:sectPr>
      </w:pPr>
    </w:p>
    <w:bookmarkEnd w:id="35"/>
    <w:p w14:paraId="5D272C9A">
      <w:pPr>
        <w:pStyle w:val="198"/>
        <w:rPr>
          <w:rFonts w:hint="eastAsia"/>
          <w:vanish w:val="0"/>
        </w:rPr>
      </w:pPr>
      <w:bookmarkStart w:id="175" w:name="BookMark5"/>
    </w:p>
    <w:p w14:paraId="00AC5F5B">
      <w:pPr>
        <w:pStyle w:val="199"/>
        <w:rPr>
          <w:vanish w:val="0"/>
        </w:rPr>
      </w:pPr>
    </w:p>
    <w:p w14:paraId="683F82E9">
      <w:pPr>
        <w:pStyle w:val="76"/>
        <w:spacing w:after="120"/>
      </w:pPr>
      <w:r>
        <w:br w:type="textWrapping"/>
      </w:r>
      <w:bookmarkStart w:id="176" w:name="_Toc228276533"/>
      <w:bookmarkStart w:id="177" w:name="_Toc228276515"/>
      <w:r>
        <w:rPr>
          <w:rFonts w:hint="eastAsia"/>
        </w:rPr>
        <w:t>（规范性）</w:t>
      </w:r>
      <w:r>
        <w:br w:type="textWrapping"/>
      </w:r>
      <w:r>
        <w:rPr>
          <w:rFonts w:hint="eastAsia"/>
        </w:rPr>
        <w:t>“沁州黄”小米种植过程</w:t>
      </w:r>
      <w:bookmarkEnd w:id="176"/>
      <w:bookmarkEnd w:id="177"/>
    </w:p>
    <w:p w14:paraId="45FF0A93">
      <w:pPr>
        <w:pStyle w:val="78"/>
        <w:spacing w:before="120" w:after="120"/>
      </w:pPr>
      <w:bookmarkStart w:id="178" w:name="_Toc228276516"/>
      <w:r>
        <w:rPr>
          <w:rFonts w:hint="eastAsia"/>
        </w:rPr>
        <w:t>选地</w:t>
      </w:r>
      <w:bookmarkEnd w:id="178"/>
    </w:p>
    <w:p w14:paraId="02BFD85D">
      <w:pPr>
        <w:pStyle w:val="56"/>
        <w:ind w:firstLine="420"/>
      </w:pPr>
      <w:r>
        <w:t>应选择土层深厚、有机质丰富、土壤耕性好、通风透光的岭地进行种植，土质以红土或红黄粘土且中性或微碱性为宜，海拔高度应800 m～1500 m。前茬以麦类、豆科类、薯类、油料类作物为宜，避免重茬、迎茬。</w:t>
      </w:r>
    </w:p>
    <w:p w14:paraId="71291917">
      <w:pPr>
        <w:pStyle w:val="78"/>
        <w:spacing w:before="120" w:after="120"/>
      </w:pPr>
      <w:bookmarkStart w:id="179" w:name="_Toc228276517"/>
      <w:r>
        <w:t>整地施肥</w:t>
      </w:r>
      <w:bookmarkEnd w:id="179"/>
    </w:p>
    <w:p w14:paraId="5C155224">
      <w:pPr>
        <w:pStyle w:val="56"/>
        <w:ind w:firstLine="420"/>
      </w:pPr>
      <w:r>
        <w:t>秋季前茬作物收获后，深耕20 cm～30 cm，应深浅一致，根据土地条件施入适量的肥料，肥料使用应符合NY/T 496的要求，耕后耙耢保墒，使土壤疏松，达到地面平整的要求。</w:t>
      </w:r>
    </w:p>
    <w:p w14:paraId="60448B6C">
      <w:pPr>
        <w:pStyle w:val="78"/>
        <w:spacing w:before="120" w:after="120"/>
      </w:pPr>
      <w:bookmarkStart w:id="180" w:name="_Toc228276518"/>
      <w:r>
        <w:t>播种</w:t>
      </w:r>
      <w:bookmarkEnd w:id="180"/>
    </w:p>
    <w:p w14:paraId="0F13D2C8">
      <w:pPr>
        <w:pStyle w:val="212"/>
      </w:pPr>
      <w:r>
        <w:rPr>
          <w:rFonts w:hint="eastAsia"/>
        </w:rPr>
        <w:t>应在5月～6月开始播种，宜当土壤5 cm～10 cm耕层地温稳定在10 ℃时开始播种。</w:t>
      </w:r>
    </w:p>
    <w:p w14:paraId="66FEB882">
      <w:pPr>
        <w:pStyle w:val="212"/>
      </w:pPr>
      <w:r>
        <w:rPr>
          <w:rFonts w:hint="eastAsia"/>
        </w:rPr>
        <w:t>每667 m</w:t>
      </w:r>
      <w:r>
        <w:rPr>
          <w:rFonts w:hint="eastAsia"/>
          <w:vertAlign w:val="superscript"/>
        </w:rPr>
        <w:t>2</w:t>
      </w:r>
      <w:r>
        <w:rPr>
          <w:rFonts w:hint="eastAsia"/>
        </w:rPr>
        <w:t>苗数宜为2.5～3 万株,可根据品种特性和土质不同适当增减。</w:t>
      </w:r>
    </w:p>
    <w:p w14:paraId="7ADC9245">
      <w:pPr>
        <w:pStyle w:val="78"/>
        <w:spacing w:before="120" w:after="120"/>
      </w:pPr>
      <w:bookmarkStart w:id="181" w:name="_Toc228276519"/>
      <w:r>
        <w:t>田间管理</w:t>
      </w:r>
      <w:bookmarkEnd w:id="181"/>
    </w:p>
    <w:p w14:paraId="4FD9B3BD">
      <w:pPr>
        <w:pStyle w:val="212"/>
      </w:pPr>
      <w:r>
        <w:rPr>
          <w:rFonts w:hint="eastAsia"/>
        </w:rPr>
        <w:t>谷苗在3～5 叶期应进行第一次人工间苗，7～8 叶期宜按品种密度要求定苗。每667 m</w:t>
      </w:r>
      <w:r>
        <w:rPr>
          <w:rFonts w:hint="eastAsia"/>
          <w:vertAlign w:val="superscript"/>
        </w:rPr>
        <w:t>2</w:t>
      </w:r>
      <w:r>
        <w:rPr>
          <w:rFonts w:hint="eastAsia"/>
        </w:rPr>
        <w:t>宜留苗2.5 万株左右，可根据品种特性适当增减。</w:t>
      </w:r>
    </w:p>
    <w:p w14:paraId="0064CF22">
      <w:pPr>
        <w:pStyle w:val="212"/>
      </w:pPr>
      <w:r>
        <w:rPr>
          <w:rFonts w:hint="eastAsia"/>
        </w:rPr>
        <w:t>应结合间苗、定苗进行除草，宜人工除草2～3 次，不应使用除草剂。</w:t>
      </w:r>
    </w:p>
    <w:p w14:paraId="0CCECBD3">
      <w:pPr>
        <w:pStyle w:val="212"/>
      </w:pPr>
      <w:r>
        <w:rPr>
          <w:rFonts w:hint="eastAsia"/>
        </w:rPr>
        <w:t>拔节期宜进行追肥，追肥后应及时深中耕培土。</w:t>
      </w:r>
    </w:p>
    <w:p w14:paraId="792260EB">
      <w:pPr>
        <w:pStyle w:val="78"/>
        <w:spacing w:before="120" w:after="120"/>
      </w:pPr>
      <w:bookmarkStart w:id="182" w:name="_Toc228276520"/>
      <w:r>
        <w:t>病虫害防治</w:t>
      </w:r>
      <w:bookmarkEnd w:id="182"/>
    </w:p>
    <w:p w14:paraId="7B23479A">
      <w:pPr>
        <w:pStyle w:val="212"/>
      </w:pPr>
      <w:r>
        <w:rPr>
          <w:rFonts w:hint="eastAsia"/>
        </w:rPr>
        <w:t>应优先采用农业防治、物理防治、生物防治，科学合理利用化学防治。农药使用应满足安全间隔期的要求，交替用药，尽量减少对环境的危害。</w:t>
      </w:r>
    </w:p>
    <w:p w14:paraId="3A84674B">
      <w:pPr>
        <w:pStyle w:val="212"/>
      </w:pPr>
      <w:r>
        <w:rPr>
          <w:rFonts w:hint="eastAsia"/>
        </w:rPr>
        <w:t>采取农业防治方法时，措施宜包括：</w:t>
      </w:r>
    </w:p>
    <w:p w14:paraId="2DFB2474">
      <w:pPr>
        <w:pStyle w:val="174"/>
        <w:numPr>
          <w:ilvl w:val="0"/>
          <w:numId w:val="33"/>
        </w:numPr>
      </w:pPr>
      <w:r>
        <w:rPr>
          <w:rFonts w:hint="eastAsia"/>
        </w:rPr>
        <w:t>选用抗病品种；</w:t>
      </w:r>
    </w:p>
    <w:p w14:paraId="64B64D62">
      <w:pPr>
        <w:pStyle w:val="174"/>
      </w:pPr>
      <w:r>
        <w:rPr>
          <w:rFonts w:hint="eastAsia"/>
        </w:rPr>
        <w:t>适时播种，合理轮作，培肥土壤；</w:t>
      </w:r>
    </w:p>
    <w:p w14:paraId="0078DBB2">
      <w:pPr>
        <w:pStyle w:val="174"/>
      </w:pPr>
      <w:r>
        <w:rPr>
          <w:rFonts w:hint="eastAsia"/>
        </w:rPr>
        <w:t>发现白发病株时，应及时拔除，带出田间并深埋；</w:t>
      </w:r>
    </w:p>
    <w:p w14:paraId="0EBD5B25">
      <w:pPr>
        <w:pStyle w:val="174"/>
      </w:pPr>
      <w:r>
        <w:rPr>
          <w:rFonts w:hint="eastAsia"/>
        </w:rPr>
        <w:t>秋季深耕翻。</w:t>
      </w:r>
    </w:p>
    <w:p w14:paraId="78A12E4C">
      <w:pPr>
        <w:pStyle w:val="212"/>
      </w:pPr>
      <w:r>
        <w:rPr>
          <w:rFonts w:hint="eastAsia"/>
        </w:rPr>
        <w:t>采取物理防治方法时，宜采用杀虫灯、诱虫板、诱捕器、杨树枝靶等诱杀害虫技术。</w:t>
      </w:r>
    </w:p>
    <w:p w14:paraId="1D7CDD98">
      <w:pPr>
        <w:pStyle w:val="212"/>
      </w:pPr>
      <w:r>
        <w:rPr>
          <w:rFonts w:hint="eastAsia"/>
        </w:rPr>
        <w:t>采取生物防治方法时，宜释放寄生蜂防治粟灰螟、粘虫等。</w:t>
      </w:r>
    </w:p>
    <w:p w14:paraId="6BFC20DB">
      <w:pPr>
        <w:pStyle w:val="212"/>
      </w:pPr>
      <w:r>
        <w:rPr>
          <w:rFonts w:hint="eastAsia"/>
        </w:rPr>
        <w:t>采取化学防治方法时，应选用低毒无残留的生物药剂，农药使用应符合GB/T 8321、NY/T 1276的要求。</w:t>
      </w:r>
    </w:p>
    <w:p w14:paraId="2D0AC62F">
      <w:pPr>
        <w:pStyle w:val="78"/>
        <w:spacing w:before="120" w:after="120"/>
      </w:pPr>
      <w:bookmarkStart w:id="183" w:name="_Toc228276521"/>
      <w:r>
        <w:t>收获</w:t>
      </w:r>
      <w:bookmarkEnd w:id="183"/>
    </w:p>
    <w:p w14:paraId="54B74E9E">
      <w:pPr>
        <w:pStyle w:val="56"/>
        <w:ind w:firstLine="420"/>
      </w:pPr>
      <w:r>
        <w:t>应在谷粒全部变黄、硬化、叶片黄化后收获，割倒并晾晒3 d～5 d，不应与有毒有害有异味的物品混存。</w:t>
      </w:r>
    </w:p>
    <w:bookmarkEnd w:id="117"/>
    <w:bookmarkEnd w:id="175"/>
    <w:p w14:paraId="136E7F8D">
      <w:pPr>
        <w:pStyle w:val="56"/>
        <w:ind w:firstLine="0" w:firstLineChars="0"/>
        <w:jc w:val="center"/>
      </w:pPr>
      <w:bookmarkStart w:id="184" w:name="BookMark8"/>
      <w:r>
        <w:rPr>
          <w:rFonts w:hint="eastAsia"/>
        </w:rPr>
        <w:drawing>
          <wp:inline distT="0" distB="0" distL="0" distR="0">
            <wp:extent cx="1485900" cy="317500"/>
            <wp:effectExtent l="0" t="0" r="0" b="6350"/>
            <wp:docPr id="1753314602" name="图片 2"/>
            <wp:cNvGraphicFramePr/>
            <a:graphic xmlns:a="http://schemas.openxmlformats.org/drawingml/2006/main">
              <a:graphicData uri="http://schemas.openxmlformats.org/drawingml/2006/picture">
                <pic:pic xmlns:pic="http://schemas.openxmlformats.org/drawingml/2006/picture">
                  <pic:nvPicPr>
                    <pic:cNvPr id="1753314602" name="图片 2"/>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84"/>
    </w:p>
    <w:sectPr>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9EBA71">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39AAB0">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F21B0D">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CC2EEC">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BDAF28">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58386A">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C8B49">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BEF049">
    <w:pPr>
      <w:pStyle w:val="61"/>
      <w:rPr>
        <w:rFonts w:hint="eastAsia"/>
      </w:rPr>
    </w:pPr>
    <w:r>
      <w:fldChar w:fldCharType="begin"/>
    </w:r>
    <w:r>
      <w:instrText xml:space="preserve"> STYLEREF  标准文件_文件编号  \* MERGEFORMAT </w:instrText>
    </w:r>
    <w:r>
      <w:fldChar w:fldCharType="separate"/>
    </w:r>
    <w:r>
      <w:t>T/XXX XXXX—2026</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96A86D">
    <w:pPr>
      <w:pStyle w:val="18"/>
      <w:jc w:val="right"/>
    </w:pPr>
    <w:r>
      <w:fldChar w:fldCharType="begin"/>
    </w:r>
    <w:r>
      <w:instrText xml:space="preserve"> STYLEREF  标准文件_文件编号  \* MERGEFORMAT </w:instrText>
    </w:r>
    <w:r>
      <w:fldChar w:fldCharType="separate"/>
    </w:r>
    <w:r>
      <w:t>T/XXX XXXX—2026</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142"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0"/>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gyZDdjZmE2YWNlMTUzYWVkNzFlNWVhNDhmZThiYmMifQ=="/>
  </w:docVars>
  <w:rsids>
    <w:rsidRoot w:val="007D78B5"/>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47AB2"/>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17E0F"/>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97EAE"/>
    <w:rsid w:val="003A11D1"/>
    <w:rsid w:val="003A1582"/>
    <w:rsid w:val="003A3D9C"/>
    <w:rsid w:val="003A4077"/>
    <w:rsid w:val="003A4AA7"/>
    <w:rsid w:val="003B09AD"/>
    <w:rsid w:val="003B1F18"/>
    <w:rsid w:val="003B5BF0"/>
    <w:rsid w:val="003B60BF"/>
    <w:rsid w:val="003B6BE3"/>
    <w:rsid w:val="003C010C"/>
    <w:rsid w:val="003C0A6C"/>
    <w:rsid w:val="003C1470"/>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1771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028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45A23"/>
    <w:rsid w:val="006476FF"/>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0B5C"/>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D78B5"/>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470DD"/>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139"/>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96E4D"/>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0E15"/>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7AE"/>
    <w:rsid w:val="00BF0993"/>
    <w:rsid w:val="00BF10A9"/>
    <w:rsid w:val="00BF1703"/>
    <w:rsid w:val="00BF1F34"/>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3800"/>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565AF"/>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23C"/>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0CA1"/>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214347"/>
    <w:rsid w:val="0213163C"/>
    <w:rsid w:val="024E5DF7"/>
    <w:rsid w:val="04BE0FA4"/>
    <w:rsid w:val="054E4EFE"/>
    <w:rsid w:val="05564F18"/>
    <w:rsid w:val="084E1932"/>
    <w:rsid w:val="089A4776"/>
    <w:rsid w:val="093A2C17"/>
    <w:rsid w:val="09AB3C87"/>
    <w:rsid w:val="0A021933"/>
    <w:rsid w:val="0AD27C05"/>
    <w:rsid w:val="0B801B8B"/>
    <w:rsid w:val="0BB6096E"/>
    <w:rsid w:val="0BE8061C"/>
    <w:rsid w:val="0BF15844"/>
    <w:rsid w:val="0CCE096D"/>
    <w:rsid w:val="0DA87BE6"/>
    <w:rsid w:val="0DD857CD"/>
    <w:rsid w:val="0E093BD8"/>
    <w:rsid w:val="10276CAF"/>
    <w:rsid w:val="110724BB"/>
    <w:rsid w:val="127D6943"/>
    <w:rsid w:val="12A74451"/>
    <w:rsid w:val="12BA5360"/>
    <w:rsid w:val="12F473A6"/>
    <w:rsid w:val="132A7240"/>
    <w:rsid w:val="13447940"/>
    <w:rsid w:val="13521DFE"/>
    <w:rsid w:val="13C76A41"/>
    <w:rsid w:val="1461776C"/>
    <w:rsid w:val="15151594"/>
    <w:rsid w:val="158741B3"/>
    <w:rsid w:val="17964C9D"/>
    <w:rsid w:val="17F04183"/>
    <w:rsid w:val="18586480"/>
    <w:rsid w:val="18E65A06"/>
    <w:rsid w:val="199B021E"/>
    <w:rsid w:val="1AE17EB2"/>
    <w:rsid w:val="1B7D79B3"/>
    <w:rsid w:val="1E464F6B"/>
    <w:rsid w:val="1E542C4D"/>
    <w:rsid w:val="1E5714F4"/>
    <w:rsid w:val="1E6479CB"/>
    <w:rsid w:val="1F9F20EA"/>
    <w:rsid w:val="2004485B"/>
    <w:rsid w:val="200C7641"/>
    <w:rsid w:val="201E5C12"/>
    <w:rsid w:val="20407880"/>
    <w:rsid w:val="210B5C89"/>
    <w:rsid w:val="2274263C"/>
    <w:rsid w:val="23EB1DA2"/>
    <w:rsid w:val="24F07BEB"/>
    <w:rsid w:val="264B2FCC"/>
    <w:rsid w:val="27744E75"/>
    <w:rsid w:val="277B36A5"/>
    <w:rsid w:val="27865B39"/>
    <w:rsid w:val="27F40FFD"/>
    <w:rsid w:val="28D32EE5"/>
    <w:rsid w:val="2A95250A"/>
    <w:rsid w:val="2AEF1294"/>
    <w:rsid w:val="2C0066E6"/>
    <w:rsid w:val="2C0E0D23"/>
    <w:rsid w:val="2C540060"/>
    <w:rsid w:val="2C555275"/>
    <w:rsid w:val="2CFC2F0C"/>
    <w:rsid w:val="2DEE6C09"/>
    <w:rsid w:val="2E3A6A83"/>
    <w:rsid w:val="2F1C29BD"/>
    <w:rsid w:val="2F6A02D7"/>
    <w:rsid w:val="2F81761A"/>
    <w:rsid w:val="31674F0F"/>
    <w:rsid w:val="33091E01"/>
    <w:rsid w:val="340D5921"/>
    <w:rsid w:val="341F4D0C"/>
    <w:rsid w:val="343E161D"/>
    <w:rsid w:val="34491E5D"/>
    <w:rsid w:val="34C70AD3"/>
    <w:rsid w:val="367B2229"/>
    <w:rsid w:val="389550AE"/>
    <w:rsid w:val="3ACC34EE"/>
    <w:rsid w:val="3AF25060"/>
    <w:rsid w:val="3CBF43A0"/>
    <w:rsid w:val="3CC3427A"/>
    <w:rsid w:val="3DC030BC"/>
    <w:rsid w:val="3F3C530C"/>
    <w:rsid w:val="3FD33D45"/>
    <w:rsid w:val="4153351C"/>
    <w:rsid w:val="428F73BC"/>
    <w:rsid w:val="43305BFF"/>
    <w:rsid w:val="4414451E"/>
    <w:rsid w:val="44B775F6"/>
    <w:rsid w:val="44F949F9"/>
    <w:rsid w:val="45D07E11"/>
    <w:rsid w:val="475B62EC"/>
    <w:rsid w:val="47D46AAB"/>
    <w:rsid w:val="47DF2FFE"/>
    <w:rsid w:val="48241F68"/>
    <w:rsid w:val="48B84099"/>
    <w:rsid w:val="49072873"/>
    <w:rsid w:val="49517A5D"/>
    <w:rsid w:val="4B6B62D5"/>
    <w:rsid w:val="4BCA25F7"/>
    <w:rsid w:val="4C9E5C65"/>
    <w:rsid w:val="4CAE158F"/>
    <w:rsid w:val="4CBD2EBC"/>
    <w:rsid w:val="4DDA641C"/>
    <w:rsid w:val="4E5D76B6"/>
    <w:rsid w:val="4E9F02B2"/>
    <w:rsid w:val="4F115167"/>
    <w:rsid w:val="4F6901BA"/>
    <w:rsid w:val="4F6B5371"/>
    <w:rsid w:val="51835EDD"/>
    <w:rsid w:val="5270734F"/>
    <w:rsid w:val="529E60AD"/>
    <w:rsid w:val="535915A5"/>
    <w:rsid w:val="53D6268D"/>
    <w:rsid w:val="54482775"/>
    <w:rsid w:val="55A255BF"/>
    <w:rsid w:val="55A276CE"/>
    <w:rsid w:val="56145F69"/>
    <w:rsid w:val="57F239CD"/>
    <w:rsid w:val="58336D56"/>
    <w:rsid w:val="5A96191C"/>
    <w:rsid w:val="5B3802DE"/>
    <w:rsid w:val="5DDA73AD"/>
    <w:rsid w:val="5E8F1140"/>
    <w:rsid w:val="5EC823BB"/>
    <w:rsid w:val="5F031815"/>
    <w:rsid w:val="5F0924F2"/>
    <w:rsid w:val="60907628"/>
    <w:rsid w:val="622E68DE"/>
    <w:rsid w:val="629E7A04"/>
    <w:rsid w:val="63B854D2"/>
    <w:rsid w:val="63CB46EB"/>
    <w:rsid w:val="63CF59CD"/>
    <w:rsid w:val="64801AB7"/>
    <w:rsid w:val="66DD5F97"/>
    <w:rsid w:val="67A75169"/>
    <w:rsid w:val="67FE6881"/>
    <w:rsid w:val="681F1664"/>
    <w:rsid w:val="68E43CED"/>
    <w:rsid w:val="68F51ECE"/>
    <w:rsid w:val="69F00095"/>
    <w:rsid w:val="6A744960"/>
    <w:rsid w:val="6BED4F5E"/>
    <w:rsid w:val="6C9205D9"/>
    <w:rsid w:val="6D7B722C"/>
    <w:rsid w:val="6F03093B"/>
    <w:rsid w:val="6F272393"/>
    <w:rsid w:val="6F7B70D5"/>
    <w:rsid w:val="701C2621"/>
    <w:rsid w:val="70235E7F"/>
    <w:rsid w:val="705734A4"/>
    <w:rsid w:val="70FD34D0"/>
    <w:rsid w:val="7117449C"/>
    <w:rsid w:val="711B20CE"/>
    <w:rsid w:val="71523D14"/>
    <w:rsid w:val="71787FBA"/>
    <w:rsid w:val="722616FC"/>
    <w:rsid w:val="73E23C5C"/>
    <w:rsid w:val="74EF014F"/>
    <w:rsid w:val="74EF2C3D"/>
    <w:rsid w:val="75202B6D"/>
    <w:rsid w:val="76D577D6"/>
    <w:rsid w:val="76DE79F0"/>
    <w:rsid w:val="77190E8F"/>
    <w:rsid w:val="79206FB5"/>
    <w:rsid w:val="792E2D07"/>
    <w:rsid w:val="7950689D"/>
    <w:rsid w:val="7BAE4AED"/>
    <w:rsid w:val="7C31707D"/>
    <w:rsid w:val="7D6A772E"/>
    <w:rsid w:val="7DF033B2"/>
    <w:rsid w:val="7F3E5F5B"/>
    <w:rsid w:val="7F801E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ind w:left="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段"/>
    <w:basedOn w:val="1"/>
    <w:qFormat/>
    <w:uiPriority w:val="0"/>
    <w:pPr>
      <w:spacing w:line="240" w:lineRule="auto"/>
      <w:ind w:firstLine="420" w:firstLineChars="200"/>
    </w:pPr>
    <w:rPr>
      <w:rFonts w:ascii="Times New Roman" w:hAnsi="Times New Roman"/>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glossaryDocument" Target="glossary/document.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3.jpeg"/><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0BB1F979B7443EAB58C31BC8224C4C2"/>
        <w:style w:val=""/>
        <w:category>
          <w:name w:val="常规"/>
          <w:gallery w:val="placeholder"/>
        </w:category>
        <w:types>
          <w:type w:val="bbPlcHdr"/>
        </w:types>
        <w:behaviors>
          <w:behavior w:val="content"/>
        </w:behaviors>
        <w:description w:val=""/>
        <w:guid w:val="{65A60247-5883-4C3B-8E47-01370B39DF65}"/>
      </w:docPartPr>
      <w:docPartBody>
        <w:p w14:paraId="31D96ACA">
          <w:pPr>
            <w:pStyle w:val="5"/>
            <w:rPr>
              <w:rFonts w:hint="eastAsia"/>
            </w:rPr>
          </w:pPr>
          <w:r>
            <w:rPr>
              <w:rStyle w:val="4"/>
              <w:rFonts w:hint="eastAsia"/>
            </w:rPr>
            <w:t>单击或点击此处输入文字。</w:t>
          </w:r>
        </w:p>
      </w:docPartBody>
    </w:docPart>
    <w:docPart>
      <w:docPartPr>
        <w:name w:val="D42DA4045D1B478188AC89DDAFEDE4F7"/>
        <w:style w:val=""/>
        <w:category>
          <w:name w:val="常规"/>
          <w:gallery w:val="placeholder"/>
        </w:category>
        <w:types>
          <w:type w:val="bbPlcHdr"/>
        </w:types>
        <w:behaviors>
          <w:behavior w:val="content"/>
        </w:behaviors>
        <w:description w:val=""/>
        <w:guid w:val="{B75A9C8D-4FD1-49BF-8306-FF2FB27F592F}"/>
      </w:docPartPr>
      <w:docPartBody>
        <w:p w14:paraId="2984F657">
          <w:pPr>
            <w:pStyle w:val="6"/>
            <w:rPr>
              <w:rFonts w:hint="eastAsia"/>
            </w:rPr>
          </w:pPr>
          <w:r>
            <w:rPr>
              <w:rStyle w:val="4"/>
              <w:rFonts w:hint="eastAsia"/>
            </w:rPr>
            <w:t>选择一项。</w:t>
          </w:r>
        </w:p>
      </w:docPartBody>
    </w:docPart>
    <w:docPart>
      <w:docPartPr>
        <w:name w:val="0A41B81AFC3C4E11B339027A7C910640"/>
        <w:style w:val=""/>
        <w:category>
          <w:name w:val="常规"/>
          <w:gallery w:val="placeholder"/>
        </w:category>
        <w:types>
          <w:type w:val="bbPlcHdr"/>
        </w:types>
        <w:behaviors>
          <w:behavior w:val="content"/>
        </w:behaviors>
        <w:description w:val=""/>
        <w:guid w:val="{57CA1FB3-8CE3-4C07-B00F-261C8930273A}"/>
      </w:docPartPr>
      <w:docPartBody>
        <w:p w14:paraId="15F4D022">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2A7F"/>
    <w:rsid w:val="00147AB2"/>
    <w:rsid w:val="002C3D0F"/>
    <w:rsid w:val="00317E0F"/>
    <w:rsid w:val="009157A5"/>
    <w:rsid w:val="00CA3800"/>
    <w:rsid w:val="00D06F41"/>
    <w:rsid w:val="00F77D81"/>
    <w:rsid w:val="00F82A7F"/>
    <w:rsid w:val="00FB3A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00BB1F979B7443EAB58C31BC8224C4C2"/>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D42DA4045D1B478188AC89DDAFEDE4F7"/>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0A41B81AFC3C4E11B339027A7C910640"/>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8</Pages>
  <Words>1333</Words>
  <Characters>1510</Characters>
  <Lines>37</Lines>
  <Paragraphs>10</Paragraphs>
  <TotalTime>0</TotalTime>
  <ScaleCrop>false</ScaleCrop>
  <LinksUpToDate>false</LinksUpToDate>
  <CharactersWithSpaces>1609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2024-06-11T06:41:00Z</dcterms:created>
  <dc:creator>Administrator</dc:creator>
  <dc:description>&lt;config cover="true" show_menu="true" version="1.0.0" doctype="SDKXY"&gt;_x000d_
&lt;/config&gt;</dc:description>
  <cp:lastModifiedBy>暖北。</cp:lastModifiedBy>
  <cp:lastPrinted>2021-02-02T08:22:00Z</cp:lastPrinted>
  <dcterms:modified xsi:type="dcterms:W3CDTF">2026-04-30T07:08:53Z</dcterms:modified>
  <dc:title>团体标准</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2052-12.1.0.25865</vt:lpwstr>
  </property>
  <property fmtid="{D5CDD505-2E9C-101B-9397-08002B2CF9AE}" pid="15" name="ICV">
    <vt:lpwstr>012D5C9F6D194223B765ECCCD19312DC_12</vt:lpwstr>
  </property>
  <property fmtid="{D5CDD505-2E9C-101B-9397-08002B2CF9AE}" pid="16" name="KSOTemplateDocerSaveRecord">
    <vt:lpwstr>eyJoZGlkIjoiYjBjNzg3YzAwNTRmMWMxZmQ2YjliNzhlNWVhMGY1NTMiLCJ1c2VySWQiOiIzNDM0NTgwOTQifQ==</vt:lpwstr>
  </property>
</Properties>
</file>